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035" w:rsidRPr="00FE24C0" w:rsidRDefault="00447035" w:rsidP="005029F0">
      <w:pPr>
        <w:jc w:val="right"/>
      </w:pPr>
    </w:p>
    <w:p w:rsidR="004A250F" w:rsidRPr="00FE24C0" w:rsidRDefault="004A250F"/>
    <w:p w:rsidR="004A250F" w:rsidRPr="00FE24C0" w:rsidRDefault="004A250F" w:rsidP="004A250F">
      <w:pPr>
        <w:jc w:val="center"/>
        <w:rPr>
          <w:b/>
          <w:sz w:val="36"/>
          <w:szCs w:val="36"/>
        </w:rPr>
      </w:pPr>
    </w:p>
    <w:p w:rsidR="004A250F" w:rsidRPr="00FE24C0" w:rsidRDefault="004A250F" w:rsidP="004A250F">
      <w:pPr>
        <w:jc w:val="center"/>
        <w:rPr>
          <w:b/>
          <w:sz w:val="36"/>
          <w:szCs w:val="36"/>
        </w:rPr>
      </w:pPr>
    </w:p>
    <w:p w:rsidR="004A250F" w:rsidRPr="00FE24C0" w:rsidRDefault="004A250F" w:rsidP="004A250F">
      <w:pPr>
        <w:jc w:val="center"/>
        <w:rPr>
          <w:b/>
          <w:sz w:val="36"/>
          <w:szCs w:val="36"/>
        </w:rPr>
      </w:pPr>
    </w:p>
    <w:p w:rsidR="00F32266" w:rsidRPr="00FE24C0" w:rsidRDefault="00E87726" w:rsidP="004A250F">
      <w:pPr>
        <w:jc w:val="center"/>
        <w:rPr>
          <w:b/>
          <w:sz w:val="56"/>
          <w:szCs w:val="56"/>
        </w:rPr>
      </w:pPr>
      <w:r w:rsidRPr="00FE24C0">
        <w:rPr>
          <w:b/>
          <w:sz w:val="56"/>
          <w:szCs w:val="56"/>
        </w:rPr>
        <w:t>Argentin</w:t>
      </w:r>
      <w:r w:rsidR="009134AD" w:rsidRPr="00FE24C0">
        <w:rPr>
          <w:b/>
          <w:sz w:val="56"/>
          <w:szCs w:val="56"/>
        </w:rPr>
        <w:t>a</w:t>
      </w:r>
    </w:p>
    <w:p w:rsidR="00F32266" w:rsidRPr="00FE24C0" w:rsidRDefault="00F32266" w:rsidP="004A250F">
      <w:pPr>
        <w:jc w:val="center"/>
        <w:rPr>
          <w:b/>
          <w:sz w:val="44"/>
          <w:szCs w:val="44"/>
        </w:rPr>
      </w:pPr>
    </w:p>
    <w:p w:rsidR="00F32266" w:rsidRPr="00FE24C0" w:rsidRDefault="00376A01" w:rsidP="004A250F">
      <w:pPr>
        <w:jc w:val="center"/>
        <w:rPr>
          <w:b/>
        </w:rPr>
      </w:pPr>
      <w:r w:rsidRPr="00FE24C0">
        <w:rPr>
          <w:b/>
          <w:sz w:val="44"/>
        </w:rPr>
        <w:t xml:space="preserve">NDVI </w:t>
      </w:r>
      <w:r w:rsidR="005E674B" w:rsidRPr="00FE24C0">
        <w:rPr>
          <w:b/>
          <w:sz w:val="44"/>
        </w:rPr>
        <w:t xml:space="preserve">Pasture </w:t>
      </w:r>
      <w:r w:rsidRPr="00FE24C0">
        <w:rPr>
          <w:b/>
          <w:sz w:val="44"/>
        </w:rPr>
        <w:t xml:space="preserve">index-based insurance </w:t>
      </w:r>
      <w:r w:rsidR="00A21BD3" w:rsidRPr="00FE24C0">
        <w:rPr>
          <w:b/>
          <w:sz w:val="44"/>
        </w:rPr>
        <w:t xml:space="preserve">for Livestock Producers </w:t>
      </w:r>
      <w:r w:rsidRPr="00FE24C0">
        <w:rPr>
          <w:b/>
          <w:sz w:val="44"/>
        </w:rPr>
        <w:t>in South West Buenos Aires Province</w:t>
      </w:r>
      <w:r w:rsidR="00F32266" w:rsidRPr="00FE24C0">
        <w:rPr>
          <w:b/>
          <w:sz w:val="96"/>
          <w:szCs w:val="44"/>
        </w:rPr>
        <w:t xml:space="preserve"> </w:t>
      </w:r>
    </w:p>
    <w:p w:rsidR="00376A01" w:rsidRPr="00FE24C0" w:rsidRDefault="00376A01" w:rsidP="004A250F">
      <w:pPr>
        <w:jc w:val="center"/>
        <w:rPr>
          <w:b/>
          <w:sz w:val="44"/>
          <w:szCs w:val="44"/>
        </w:rPr>
      </w:pPr>
    </w:p>
    <w:p w:rsidR="004A250F" w:rsidRPr="00FE24C0" w:rsidRDefault="001807AA" w:rsidP="004A250F">
      <w:pPr>
        <w:jc w:val="center"/>
        <w:rPr>
          <w:i/>
        </w:rPr>
      </w:pPr>
      <w:r w:rsidRPr="00FE24C0">
        <w:rPr>
          <w:b/>
          <w:sz w:val="44"/>
          <w:szCs w:val="44"/>
        </w:rPr>
        <w:t xml:space="preserve">Feasibility Study: </w:t>
      </w:r>
      <w:r w:rsidR="00A256C8" w:rsidRPr="00FE24C0">
        <w:rPr>
          <w:b/>
          <w:sz w:val="44"/>
          <w:szCs w:val="44"/>
        </w:rPr>
        <w:t>Final Report</w:t>
      </w:r>
    </w:p>
    <w:p w:rsidR="004A250F" w:rsidRPr="00FE24C0" w:rsidRDefault="004A250F" w:rsidP="004A250F">
      <w:pPr>
        <w:jc w:val="center"/>
        <w:rPr>
          <w:b/>
        </w:rPr>
      </w:pPr>
    </w:p>
    <w:p w:rsidR="004A250F" w:rsidRPr="00FE24C0" w:rsidRDefault="004A250F" w:rsidP="004A250F">
      <w:pPr>
        <w:jc w:val="center"/>
        <w:rPr>
          <w:b/>
          <w:sz w:val="36"/>
          <w:szCs w:val="36"/>
        </w:rPr>
      </w:pPr>
    </w:p>
    <w:p w:rsidR="004A250F" w:rsidRPr="00FE24C0" w:rsidRDefault="005A6F83" w:rsidP="000A3BE8">
      <w:pPr>
        <w:jc w:val="center"/>
        <w:rPr>
          <w:b/>
          <w:sz w:val="36"/>
          <w:szCs w:val="36"/>
        </w:rPr>
      </w:pPr>
      <w:r>
        <w:rPr>
          <w:b/>
          <w:sz w:val="36"/>
          <w:szCs w:val="36"/>
        </w:rPr>
        <w:t>December</w:t>
      </w:r>
      <w:r w:rsidR="00A256C8" w:rsidRPr="00FE24C0">
        <w:rPr>
          <w:b/>
          <w:sz w:val="36"/>
          <w:szCs w:val="36"/>
        </w:rPr>
        <w:t xml:space="preserve"> 2012</w:t>
      </w:r>
    </w:p>
    <w:p w:rsidR="004A250F" w:rsidRPr="00FE24C0" w:rsidRDefault="004A250F" w:rsidP="004A250F">
      <w:pPr>
        <w:jc w:val="center"/>
        <w:rPr>
          <w:b/>
          <w:sz w:val="36"/>
          <w:szCs w:val="36"/>
        </w:rPr>
      </w:pPr>
    </w:p>
    <w:p w:rsidR="003739E4" w:rsidRPr="00FE24C0" w:rsidRDefault="003739E4" w:rsidP="004A250F">
      <w:pPr>
        <w:rPr>
          <w:b/>
          <w:sz w:val="28"/>
          <w:szCs w:val="28"/>
        </w:rPr>
      </w:pPr>
    </w:p>
    <w:p w:rsidR="004A250F" w:rsidRPr="00FE24C0" w:rsidRDefault="004A250F" w:rsidP="004A250F">
      <w:pPr>
        <w:rPr>
          <w:b/>
          <w:sz w:val="28"/>
          <w:szCs w:val="28"/>
        </w:rPr>
      </w:pPr>
      <w:r w:rsidRPr="00FE24C0">
        <w:rPr>
          <w:b/>
          <w:sz w:val="28"/>
          <w:szCs w:val="28"/>
        </w:rPr>
        <w:t>The World Bank</w:t>
      </w:r>
    </w:p>
    <w:p w:rsidR="004A250F" w:rsidRPr="00FE24C0" w:rsidRDefault="00130500" w:rsidP="004A250F">
      <w:pPr>
        <w:rPr>
          <w:b/>
          <w:sz w:val="36"/>
          <w:szCs w:val="36"/>
        </w:rPr>
      </w:pPr>
      <w:r w:rsidRPr="00FE24C0">
        <w:rPr>
          <w:noProof/>
          <w:kern w:val="16"/>
          <w:sz w:val="28"/>
          <w:lang w:val="es-AR" w:eastAsia="es-AR"/>
        </w:rPr>
        <w:drawing>
          <wp:inline distT="0" distB="0" distL="0" distR="0">
            <wp:extent cx="457200" cy="446405"/>
            <wp:effectExtent l="19050" t="19050" r="1905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200" cy="446405"/>
                    </a:xfrm>
                    <a:prstGeom prst="rect">
                      <a:avLst/>
                    </a:prstGeom>
                    <a:noFill/>
                    <a:ln w="9525" cmpd="sng">
                      <a:solidFill>
                        <a:srgbClr val="FFFFFF"/>
                      </a:solidFill>
                      <a:miter lim="800000"/>
                      <a:headEnd/>
                      <a:tailEnd/>
                    </a:ln>
                    <a:effectLst/>
                  </pic:spPr>
                </pic:pic>
              </a:graphicData>
            </a:graphic>
          </wp:inline>
        </w:drawing>
      </w:r>
      <w:r w:rsidR="004A250F" w:rsidRPr="00FE24C0">
        <w:rPr>
          <w:kern w:val="16"/>
        </w:rPr>
        <w:t xml:space="preserve"> THE WORLD BANK</w:t>
      </w:r>
    </w:p>
    <w:p w:rsidR="004A250F" w:rsidRPr="00FE24C0" w:rsidRDefault="004A250F" w:rsidP="004A250F">
      <w:pPr>
        <w:pBdr>
          <w:top w:val="single" w:sz="12" w:space="1" w:color="auto"/>
          <w:left w:val="single" w:sz="12" w:space="4" w:color="auto"/>
          <w:bottom w:val="single" w:sz="12" w:space="1" w:color="auto"/>
          <w:right w:val="single" w:sz="12" w:space="4" w:color="auto"/>
        </w:pBdr>
        <w:jc w:val="center"/>
        <w:rPr>
          <w:b/>
          <w:sz w:val="36"/>
          <w:szCs w:val="36"/>
        </w:rPr>
        <w:sectPr w:rsidR="004A250F" w:rsidRPr="00FE24C0">
          <w:footerReference w:type="even" r:id="rId9"/>
          <w:pgSz w:w="12240" w:h="15840"/>
          <w:pgMar w:top="1440" w:right="1800" w:bottom="1440" w:left="1800" w:header="720" w:footer="720" w:gutter="0"/>
          <w:pgNumType w:start="1"/>
          <w:cols w:space="720"/>
          <w:docGrid w:linePitch="360"/>
        </w:sectPr>
      </w:pPr>
    </w:p>
    <w:p w:rsidR="004A250F" w:rsidRPr="00FE24C0" w:rsidRDefault="004A250F" w:rsidP="004A250F">
      <w:pPr>
        <w:jc w:val="center"/>
        <w:rPr>
          <w:b/>
          <w:sz w:val="32"/>
          <w:szCs w:val="32"/>
        </w:rPr>
      </w:pPr>
      <w:r w:rsidRPr="00FE24C0">
        <w:rPr>
          <w:b/>
          <w:sz w:val="32"/>
          <w:szCs w:val="32"/>
        </w:rPr>
        <w:lastRenderedPageBreak/>
        <w:t>Table of Contents</w:t>
      </w:r>
    </w:p>
    <w:p w:rsidR="00536C63" w:rsidRDefault="003F5785">
      <w:pPr>
        <w:pStyle w:val="TDC1"/>
        <w:tabs>
          <w:tab w:val="right" w:leader="dot" w:pos="8630"/>
        </w:tabs>
        <w:rPr>
          <w:rFonts w:asciiTheme="minorHAnsi" w:eastAsiaTheme="minorEastAsia" w:hAnsiTheme="minorHAnsi" w:cstheme="minorBidi"/>
          <w:b w:val="0"/>
          <w:noProof/>
          <w:szCs w:val="22"/>
          <w:lang w:val="es-AR" w:eastAsia="es-AR"/>
        </w:rPr>
      </w:pPr>
      <w:r w:rsidRPr="003F5785">
        <w:rPr>
          <w:lang w:eastAsia="en-US" w:bidi="th-TH"/>
        </w:rPr>
        <w:fldChar w:fldCharType="begin"/>
      </w:r>
      <w:r w:rsidR="0071152C" w:rsidRPr="00FE24C0">
        <w:rPr>
          <w:lang w:eastAsia="en-US" w:bidi="th-TH"/>
        </w:rPr>
        <w:instrText xml:space="preserve"> TOC \h \z \t "Título 1;1;Subtítulo;2" </w:instrText>
      </w:r>
      <w:r w:rsidRPr="003F5785">
        <w:rPr>
          <w:lang w:eastAsia="en-US" w:bidi="th-TH"/>
        </w:rPr>
        <w:fldChar w:fldCharType="separate"/>
      </w:r>
      <w:hyperlink w:anchor="_Toc345794243" w:history="1">
        <w:r w:rsidR="00536C63" w:rsidRPr="00376E18">
          <w:rPr>
            <w:rStyle w:val="Hipervnculo"/>
            <w:noProof/>
          </w:rPr>
          <w:t>ACKNOWLEDGEMENTS</w:t>
        </w:r>
        <w:r w:rsidR="00536C63">
          <w:rPr>
            <w:noProof/>
            <w:webHidden/>
          </w:rPr>
          <w:tab/>
        </w:r>
        <w:r w:rsidR="00536C63">
          <w:rPr>
            <w:noProof/>
            <w:webHidden/>
          </w:rPr>
          <w:fldChar w:fldCharType="begin"/>
        </w:r>
        <w:r w:rsidR="00536C63">
          <w:rPr>
            <w:noProof/>
            <w:webHidden/>
          </w:rPr>
          <w:instrText xml:space="preserve"> PAGEREF _Toc345794243 \h </w:instrText>
        </w:r>
        <w:r w:rsidR="00536C63">
          <w:rPr>
            <w:noProof/>
            <w:webHidden/>
          </w:rPr>
        </w:r>
        <w:r w:rsidR="00536C63">
          <w:rPr>
            <w:noProof/>
            <w:webHidden/>
          </w:rPr>
          <w:fldChar w:fldCharType="separate"/>
        </w:r>
        <w:r w:rsidR="00536C63">
          <w:rPr>
            <w:noProof/>
            <w:webHidden/>
          </w:rPr>
          <w:t>iii</w:t>
        </w:r>
        <w:r w:rsidR="00536C63">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44" w:history="1">
        <w:r w:rsidRPr="00376E18">
          <w:rPr>
            <w:rStyle w:val="Hipervnculo"/>
            <w:noProof/>
          </w:rPr>
          <w:t>MEASURES</w:t>
        </w:r>
        <w:r>
          <w:rPr>
            <w:noProof/>
            <w:webHidden/>
          </w:rPr>
          <w:tab/>
        </w:r>
        <w:r>
          <w:rPr>
            <w:noProof/>
            <w:webHidden/>
          </w:rPr>
          <w:fldChar w:fldCharType="begin"/>
        </w:r>
        <w:r>
          <w:rPr>
            <w:noProof/>
            <w:webHidden/>
          </w:rPr>
          <w:instrText xml:space="preserve"> PAGEREF _Toc345794244 \h </w:instrText>
        </w:r>
        <w:r>
          <w:rPr>
            <w:noProof/>
            <w:webHidden/>
          </w:rPr>
        </w:r>
        <w:r>
          <w:rPr>
            <w:noProof/>
            <w:webHidden/>
          </w:rPr>
          <w:fldChar w:fldCharType="separate"/>
        </w:r>
        <w:r>
          <w:rPr>
            <w:noProof/>
            <w:webHidden/>
          </w:rPr>
          <w:t>iv</w:t>
        </w:r>
        <w:r>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45" w:history="1">
        <w:r w:rsidRPr="00376E18">
          <w:rPr>
            <w:rStyle w:val="Hipervnculo"/>
            <w:noProof/>
          </w:rPr>
          <w:t>ABBREVIATIONS AND ACRONYMS</w:t>
        </w:r>
        <w:r>
          <w:rPr>
            <w:noProof/>
            <w:webHidden/>
          </w:rPr>
          <w:tab/>
        </w:r>
        <w:r>
          <w:rPr>
            <w:noProof/>
            <w:webHidden/>
          </w:rPr>
          <w:fldChar w:fldCharType="begin"/>
        </w:r>
        <w:r>
          <w:rPr>
            <w:noProof/>
            <w:webHidden/>
          </w:rPr>
          <w:instrText xml:space="preserve"> PAGEREF _Toc345794245 \h </w:instrText>
        </w:r>
        <w:r>
          <w:rPr>
            <w:noProof/>
            <w:webHidden/>
          </w:rPr>
        </w:r>
        <w:r>
          <w:rPr>
            <w:noProof/>
            <w:webHidden/>
          </w:rPr>
          <w:fldChar w:fldCharType="separate"/>
        </w:r>
        <w:r>
          <w:rPr>
            <w:noProof/>
            <w:webHidden/>
          </w:rPr>
          <w:t>iv</w:t>
        </w:r>
        <w:r>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46" w:history="1">
        <w:r w:rsidRPr="00376E18">
          <w:rPr>
            <w:rStyle w:val="Hipervnculo"/>
            <w:noProof/>
          </w:rPr>
          <w:t>EXECUTIVE SUMMARY</w:t>
        </w:r>
        <w:r>
          <w:rPr>
            <w:noProof/>
            <w:webHidden/>
          </w:rPr>
          <w:tab/>
        </w:r>
        <w:r>
          <w:rPr>
            <w:noProof/>
            <w:webHidden/>
          </w:rPr>
          <w:fldChar w:fldCharType="begin"/>
        </w:r>
        <w:r>
          <w:rPr>
            <w:noProof/>
            <w:webHidden/>
          </w:rPr>
          <w:instrText xml:space="preserve"> PAGEREF _Toc345794246 \h </w:instrText>
        </w:r>
        <w:r>
          <w:rPr>
            <w:noProof/>
            <w:webHidden/>
          </w:rPr>
        </w:r>
        <w:r>
          <w:rPr>
            <w:noProof/>
            <w:webHidden/>
          </w:rPr>
          <w:fldChar w:fldCharType="separate"/>
        </w:r>
        <w:r>
          <w:rPr>
            <w:noProof/>
            <w:webHidden/>
          </w:rPr>
          <w:t>vi</w:t>
        </w:r>
        <w:r>
          <w:rPr>
            <w:noProof/>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47" w:history="1">
        <w:r w:rsidRPr="00376E18">
          <w:rPr>
            <w:rStyle w:val="Hipervnculo"/>
            <w:noProof/>
          </w:rPr>
          <w:t>1.</w:t>
        </w:r>
        <w:r>
          <w:rPr>
            <w:rFonts w:asciiTheme="minorHAnsi" w:eastAsiaTheme="minorEastAsia" w:hAnsiTheme="minorHAnsi" w:cstheme="minorBidi"/>
            <w:b w:val="0"/>
            <w:noProof/>
            <w:szCs w:val="22"/>
            <w:lang w:val="es-AR" w:eastAsia="es-AR"/>
          </w:rPr>
          <w:tab/>
        </w:r>
        <w:r w:rsidRPr="00376E18">
          <w:rPr>
            <w:rStyle w:val="Hipervnculo"/>
            <w:noProof/>
          </w:rPr>
          <w:t>Introduction and Objectives of the Feasibility Study</w:t>
        </w:r>
        <w:r>
          <w:rPr>
            <w:noProof/>
            <w:webHidden/>
          </w:rPr>
          <w:tab/>
        </w:r>
        <w:r>
          <w:rPr>
            <w:noProof/>
            <w:webHidden/>
          </w:rPr>
          <w:fldChar w:fldCharType="begin"/>
        </w:r>
        <w:r>
          <w:rPr>
            <w:noProof/>
            <w:webHidden/>
          </w:rPr>
          <w:instrText xml:space="preserve"> PAGEREF _Toc345794247 \h </w:instrText>
        </w:r>
        <w:r>
          <w:rPr>
            <w:noProof/>
            <w:webHidden/>
          </w:rPr>
        </w:r>
        <w:r>
          <w:rPr>
            <w:noProof/>
            <w:webHidden/>
          </w:rPr>
          <w:fldChar w:fldCharType="separate"/>
        </w:r>
        <w:r>
          <w:rPr>
            <w:noProof/>
            <w:webHidden/>
          </w:rPr>
          <w:t>1</w:t>
        </w:r>
        <w:r>
          <w:rPr>
            <w:noProof/>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48" w:history="1">
        <w:r w:rsidRPr="00376E18">
          <w:rPr>
            <w:rStyle w:val="Hipervnculo"/>
          </w:rPr>
          <w:t>Background to Drought Exposure in Livestock Production and Grazing in South West Buenos Aires Province</w:t>
        </w:r>
        <w:r>
          <w:rPr>
            <w:webHidden/>
          </w:rPr>
          <w:tab/>
        </w:r>
        <w:r>
          <w:rPr>
            <w:webHidden/>
          </w:rPr>
          <w:fldChar w:fldCharType="begin"/>
        </w:r>
        <w:r>
          <w:rPr>
            <w:webHidden/>
          </w:rPr>
          <w:instrText xml:space="preserve"> PAGEREF _Toc345794248 \h </w:instrText>
        </w:r>
        <w:r>
          <w:rPr>
            <w:webHidden/>
          </w:rPr>
        </w:r>
        <w:r>
          <w:rPr>
            <w:webHidden/>
          </w:rPr>
          <w:fldChar w:fldCharType="separate"/>
        </w:r>
        <w:r>
          <w:rPr>
            <w:webHidden/>
          </w:rPr>
          <w:t>1</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49" w:history="1">
        <w:r w:rsidRPr="00376E18">
          <w:rPr>
            <w:rStyle w:val="Hipervnculo"/>
          </w:rPr>
          <w:t>Agricultural Insurance in Argentina and lack of suitable pasture insurance covers for Livestock Producers in SWBA</w:t>
        </w:r>
        <w:r>
          <w:rPr>
            <w:webHidden/>
          </w:rPr>
          <w:tab/>
        </w:r>
        <w:r>
          <w:rPr>
            <w:webHidden/>
          </w:rPr>
          <w:fldChar w:fldCharType="begin"/>
        </w:r>
        <w:r>
          <w:rPr>
            <w:webHidden/>
          </w:rPr>
          <w:instrText xml:space="preserve"> PAGEREF _Toc345794249 \h </w:instrText>
        </w:r>
        <w:r>
          <w:rPr>
            <w:webHidden/>
          </w:rPr>
        </w:r>
        <w:r>
          <w:rPr>
            <w:webHidden/>
          </w:rPr>
          <w:fldChar w:fldCharType="separate"/>
        </w:r>
        <w:r>
          <w:rPr>
            <w:webHidden/>
          </w:rPr>
          <w:t>2</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0" w:history="1">
        <w:r w:rsidRPr="00376E18">
          <w:rPr>
            <w:rStyle w:val="Hipervnculo"/>
          </w:rPr>
          <w:t>Remote Sensing Applications to Pasture Insurance</w:t>
        </w:r>
        <w:r>
          <w:rPr>
            <w:webHidden/>
          </w:rPr>
          <w:tab/>
        </w:r>
        <w:r>
          <w:rPr>
            <w:webHidden/>
          </w:rPr>
          <w:fldChar w:fldCharType="begin"/>
        </w:r>
        <w:r>
          <w:rPr>
            <w:webHidden/>
          </w:rPr>
          <w:instrText xml:space="preserve"> PAGEREF _Toc345794250 \h </w:instrText>
        </w:r>
        <w:r>
          <w:rPr>
            <w:webHidden/>
          </w:rPr>
        </w:r>
        <w:r>
          <w:rPr>
            <w:webHidden/>
          </w:rPr>
          <w:fldChar w:fldCharType="separate"/>
        </w:r>
        <w:r>
          <w:rPr>
            <w:webHidden/>
          </w:rPr>
          <w:t>4</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1" w:history="1">
        <w:r w:rsidRPr="00376E18">
          <w:rPr>
            <w:rStyle w:val="Hipervnculo"/>
          </w:rPr>
          <w:t>Government of Argentina Request to World Bank and Scope of the Study</w:t>
        </w:r>
        <w:r>
          <w:rPr>
            <w:webHidden/>
          </w:rPr>
          <w:tab/>
        </w:r>
        <w:r>
          <w:rPr>
            <w:webHidden/>
          </w:rPr>
          <w:fldChar w:fldCharType="begin"/>
        </w:r>
        <w:r>
          <w:rPr>
            <w:webHidden/>
          </w:rPr>
          <w:instrText xml:space="preserve"> PAGEREF _Toc345794251 \h </w:instrText>
        </w:r>
        <w:r>
          <w:rPr>
            <w:webHidden/>
          </w:rPr>
        </w:r>
        <w:r>
          <w:rPr>
            <w:webHidden/>
          </w:rPr>
          <w:fldChar w:fldCharType="separate"/>
        </w:r>
        <w:r>
          <w:rPr>
            <w:webHidden/>
          </w:rPr>
          <w:t>4</w:t>
        </w:r>
        <w:r>
          <w:rPr>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52" w:history="1">
        <w:r w:rsidRPr="00376E18">
          <w:rPr>
            <w:rStyle w:val="Hipervnculo"/>
            <w:noProof/>
          </w:rPr>
          <w:t>2.</w:t>
        </w:r>
        <w:r>
          <w:rPr>
            <w:rFonts w:asciiTheme="minorHAnsi" w:eastAsiaTheme="minorEastAsia" w:hAnsiTheme="minorHAnsi" w:cstheme="minorBidi"/>
            <w:b w:val="0"/>
            <w:noProof/>
            <w:szCs w:val="22"/>
            <w:lang w:val="es-AR" w:eastAsia="es-AR"/>
          </w:rPr>
          <w:tab/>
        </w:r>
        <w:r w:rsidRPr="00376E18">
          <w:rPr>
            <w:rStyle w:val="Hipervnculo"/>
            <w:noProof/>
          </w:rPr>
          <w:t>Livestock and Pasture Production Risk Assessment in SWBA</w:t>
        </w:r>
        <w:r>
          <w:rPr>
            <w:noProof/>
            <w:webHidden/>
          </w:rPr>
          <w:tab/>
        </w:r>
        <w:r>
          <w:rPr>
            <w:noProof/>
            <w:webHidden/>
          </w:rPr>
          <w:fldChar w:fldCharType="begin"/>
        </w:r>
        <w:r>
          <w:rPr>
            <w:noProof/>
            <w:webHidden/>
          </w:rPr>
          <w:instrText xml:space="preserve"> PAGEREF _Toc345794252 \h </w:instrText>
        </w:r>
        <w:r>
          <w:rPr>
            <w:noProof/>
            <w:webHidden/>
          </w:rPr>
        </w:r>
        <w:r>
          <w:rPr>
            <w:noProof/>
            <w:webHidden/>
          </w:rPr>
          <w:fldChar w:fldCharType="separate"/>
        </w:r>
        <w:r>
          <w:rPr>
            <w:noProof/>
            <w:webHidden/>
          </w:rPr>
          <w:t>6</w:t>
        </w:r>
        <w:r>
          <w:rPr>
            <w:noProof/>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3" w:history="1">
        <w:r w:rsidRPr="00376E18">
          <w:rPr>
            <w:rStyle w:val="Hipervnculo"/>
          </w:rPr>
          <w:t>Location, Climate and Agriculture in South West Buenos Aires Province</w:t>
        </w:r>
        <w:r>
          <w:rPr>
            <w:webHidden/>
          </w:rPr>
          <w:tab/>
        </w:r>
        <w:r>
          <w:rPr>
            <w:webHidden/>
          </w:rPr>
          <w:fldChar w:fldCharType="begin"/>
        </w:r>
        <w:r>
          <w:rPr>
            <w:webHidden/>
          </w:rPr>
          <w:instrText xml:space="preserve"> PAGEREF _Toc345794253 \h </w:instrText>
        </w:r>
        <w:r>
          <w:rPr>
            <w:webHidden/>
          </w:rPr>
        </w:r>
        <w:r>
          <w:rPr>
            <w:webHidden/>
          </w:rPr>
          <w:fldChar w:fldCharType="separate"/>
        </w:r>
        <w:r>
          <w:rPr>
            <w:webHidden/>
          </w:rPr>
          <w:t>6</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4" w:history="1">
        <w:r w:rsidRPr="00376E18">
          <w:rPr>
            <w:rStyle w:val="Hipervnculo"/>
          </w:rPr>
          <w:t>Cattle Production Systems in South West Buenos Aires</w:t>
        </w:r>
        <w:r>
          <w:rPr>
            <w:webHidden/>
          </w:rPr>
          <w:tab/>
        </w:r>
        <w:r>
          <w:rPr>
            <w:webHidden/>
          </w:rPr>
          <w:fldChar w:fldCharType="begin"/>
        </w:r>
        <w:r>
          <w:rPr>
            <w:webHidden/>
          </w:rPr>
          <w:instrText xml:space="preserve"> PAGEREF _Toc345794254 \h </w:instrText>
        </w:r>
        <w:r>
          <w:rPr>
            <w:webHidden/>
          </w:rPr>
        </w:r>
        <w:r>
          <w:rPr>
            <w:webHidden/>
          </w:rPr>
          <w:fldChar w:fldCharType="separate"/>
        </w:r>
        <w:r>
          <w:rPr>
            <w:webHidden/>
          </w:rPr>
          <w:t>7</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5" w:history="1">
        <w:r w:rsidRPr="00376E18">
          <w:rPr>
            <w:rStyle w:val="Hipervnculo"/>
          </w:rPr>
          <w:t>Climatic Risk Exposures to Cattle and Pasture Production in SWBA</w:t>
        </w:r>
        <w:r>
          <w:rPr>
            <w:webHidden/>
          </w:rPr>
          <w:tab/>
        </w:r>
        <w:r>
          <w:rPr>
            <w:webHidden/>
          </w:rPr>
          <w:fldChar w:fldCharType="begin"/>
        </w:r>
        <w:r>
          <w:rPr>
            <w:webHidden/>
          </w:rPr>
          <w:instrText xml:space="preserve"> PAGEREF _Toc345794255 \h </w:instrText>
        </w:r>
        <w:r>
          <w:rPr>
            <w:webHidden/>
          </w:rPr>
        </w:r>
        <w:r>
          <w:rPr>
            <w:webHidden/>
          </w:rPr>
          <w:fldChar w:fldCharType="separate"/>
        </w:r>
        <w:r>
          <w:rPr>
            <w:webHidden/>
          </w:rPr>
          <w:t>9</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6" w:history="1">
        <w:r w:rsidRPr="00376E18">
          <w:rPr>
            <w:rStyle w:val="Hipervnculo"/>
          </w:rPr>
          <w:t>Impact of Climate (Drought) on Cattle Production in SWBA</w:t>
        </w:r>
        <w:r>
          <w:rPr>
            <w:webHidden/>
          </w:rPr>
          <w:tab/>
        </w:r>
        <w:r>
          <w:rPr>
            <w:webHidden/>
          </w:rPr>
          <w:fldChar w:fldCharType="begin"/>
        </w:r>
        <w:r>
          <w:rPr>
            <w:webHidden/>
          </w:rPr>
          <w:instrText xml:space="preserve"> PAGEREF _Toc345794256 \h </w:instrText>
        </w:r>
        <w:r>
          <w:rPr>
            <w:webHidden/>
          </w:rPr>
        </w:r>
        <w:r>
          <w:rPr>
            <w:webHidden/>
          </w:rPr>
          <w:fldChar w:fldCharType="separate"/>
        </w:r>
        <w:r>
          <w:rPr>
            <w:webHidden/>
          </w:rPr>
          <w:t>14</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7" w:history="1">
        <w:r w:rsidRPr="00376E18">
          <w:rPr>
            <w:rStyle w:val="Hipervnculo"/>
          </w:rPr>
          <w:t>Identification of the Need for a Catastrophe Pasture Drought Risk Insurance Cover for Livestock Producers in SWBA.</w:t>
        </w:r>
        <w:r>
          <w:rPr>
            <w:webHidden/>
          </w:rPr>
          <w:tab/>
        </w:r>
        <w:r>
          <w:rPr>
            <w:webHidden/>
          </w:rPr>
          <w:fldChar w:fldCharType="begin"/>
        </w:r>
        <w:r>
          <w:rPr>
            <w:webHidden/>
          </w:rPr>
          <w:instrText xml:space="preserve"> PAGEREF _Toc345794257 \h </w:instrText>
        </w:r>
        <w:r>
          <w:rPr>
            <w:webHidden/>
          </w:rPr>
        </w:r>
        <w:r>
          <w:rPr>
            <w:webHidden/>
          </w:rPr>
          <w:fldChar w:fldCharType="separate"/>
        </w:r>
        <w:r>
          <w:rPr>
            <w:webHidden/>
          </w:rPr>
          <w:t>15</w:t>
        </w:r>
        <w:r>
          <w:rPr>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58" w:history="1">
        <w:r w:rsidRPr="00376E18">
          <w:rPr>
            <w:rStyle w:val="Hipervnculo"/>
            <w:noProof/>
          </w:rPr>
          <w:t>3.</w:t>
        </w:r>
        <w:r>
          <w:rPr>
            <w:rFonts w:asciiTheme="minorHAnsi" w:eastAsiaTheme="minorEastAsia" w:hAnsiTheme="minorHAnsi" w:cstheme="minorBidi"/>
            <w:b w:val="0"/>
            <w:noProof/>
            <w:szCs w:val="22"/>
            <w:lang w:val="es-AR" w:eastAsia="es-AR"/>
          </w:rPr>
          <w:tab/>
        </w:r>
        <w:r w:rsidRPr="00376E18">
          <w:rPr>
            <w:rStyle w:val="Hipervnculo"/>
            <w:noProof/>
          </w:rPr>
          <w:t>NDVI Concepts and International Experience with NDVI Pasture Insurance</w:t>
        </w:r>
        <w:r>
          <w:rPr>
            <w:noProof/>
            <w:webHidden/>
          </w:rPr>
          <w:tab/>
        </w:r>
        <w:r>
          <w:rPr>
            <w:noProof/>
            <w:webHidden/>
          </w:rPr>
          <w:fldChar w:fldCharType="begin"/>
        </w:r>
        <w:r>
          <w:rPr>
            <w:noProof/>
            <w:webHidden/>
          </w:rPr>
          <w:instrText xml:space="preserve"> PAGEREF _Toc345794258 \h </w:instrText>
        </w:r>
        <w:r>
          <w:rPr>
            <w:noProof/>
            <w:webHidden/>
          </w:rPr>
        </w:r>
        <w:r>
          <w:rPr>
            <w:noProof/>
            <w:webHidden/>
          </w:rPr>
          <w:fldChar w:fldCharType="separate"/>
        </w:r>
        <w:r>
          <w:rPr>
            <w:noProof/>
            <w:webHidden/>
          </w:rPr>
          <w:t>17</w:t>
        </w:r>
        <w:r>
          <w:rPr>
            <w:noProof/>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59" w:history="1">
        <w:r w:rsidRPr="00376E18">
          <w:rPr>
            <w:rStyle w:val="Hipervnculo"/>
            <w:lang w:eastAsia="es-NI"/>
          </w:rPr>
          <w:t>Normalized Difference Vegetative Index: Concepts and Applications</w:t>
        </w:r>
        <w:r>
          <w:rPr>
            <w:webHidden/>
          </w:rPr>
          <w:tab/>
        </w:r>
        <w:r>
          <w:rPr>
            <w:webHidden/>
          </w:rPr>
          <w:fldChar w:fldCharType="begin"/>
        </w:r>
        <w:r>
          <w:rPr>
            <w:webHidden/>
          </w:rPr>
          <w:instrText xml:space="preserve"> PAGEREF _Toc345794259 \h </w:instrText>
        </w:r>
        <w:r>
          <w:rPr>
            <w:webHidden/>
          </w:rPr>
        </w:r>
        <w:r>
          <w:rPr>
            <w:webHidden/>
          </w:rPr>
          <w:fldChar w:fldCharType="separate"/>
        </w:r>
        <w:r>
          <w:rPr>
            <w:webHidden/>
          </w:rPr>
          <w:t>17</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0" w:history="1">
        <w:r w:rsidRPr="00376E18">
          <w:rPr>
            <w:rStyle w:val="Hipervnculo"/>
          </w:rPr>
          <w:t>Advantages and Limitations of NDVI Insurance for Pasture</w:t>
        </w:r>
        <w:r>
          <w:rPr>
            <w:webHidden/>
          </w:rPr>
          <w:tab/>
        </w:r>
        <w:r>
          <w:rPr>
            <w:webHidden/>
          </w:rPr>
          <w:fldChar w:fldCharType="begin"/>
        </w:r>
        <w:r>
          <w:rPr>
            <w:webHidden/>
          </w:rPr>
          <w:instrText xml:space="preserve"> PAGEREF _Toc345794260 \h </w:instrText>
        </w:r>
        <w:r>
          <w:rPr>
            <w:webHidden/>
          </w:rPr>
        </w:r>
        <w:r>
          <w:rPr>
            <w:webHidden/>
          </w:rPr>
          <w:fldChar w:fldCharType="separate"/>
        </w:r>
        <w:r>
          <w:rPr>
            <w:webHidden/>
          </w:rPr>
          <w:t>18</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1" w:history="1">
        <w:r w:rsidRPr="00376E18">
          <w:rPr>
            <w:rStyle w:val="Hipervnculo"/>
          </w:rPr>
          <w:t>International Experience with NDVI Insurance for Pasture</w:t>
        </w:r>
        <w:r>
          <w:rPr>
            <w:webHidden/>
          </w:rPr>
          <w:tab/>
        </w:r>
        <w:r>
          <w:rPr>
            <w:webHidden/>
          </w:rPr>
          <w:fldChar w:fldCharType="begin"/>
        </w:r>
        <w:r>
          <w:rPr>
            <w:webHidden/>
          </w:rPr>
          <w:instrText xml:space="preserve"> PAGEREF _Toc345794261 \h </w:instrText>
        </w:r>
        <w:r>
          <w:rPr>
            <w:webHidden/>
          </w:rPr>
        </w:r>
        <w:r>
          <w:rPr>
            <w:webHidden/>
          </w:rPr>
          <w:fldChar w:fldCharType="separate"/>
        </w:r>
        <w:r>
          <w:rPr>
            <w:webHidden/>
          </w:rPr>
          <w:t>20</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2" w:history="1">
        <w:r w:rsidRPr="00376E18">
          <w:rPr>
            <w:rStyle w:val="Hipervnculo"/>
          </w:rPr>
          <w:t>Basis of NDVI Pasture-Index Insurance Cover</w:t>
        </w:r>
        <w:r>
          <w:rPr>
            <w:webHidden/>
          </w:rPr>
          <w:tab/>
        </w:r>
        <w:r>
          <w:rPr>
            <w:webHidden/>
          </w:rPr>
          <w:fldChar w:fldCharType="begin"/>
        </w:r>
        <w:r>
          <w:rPr>
            <w:webHidden/>
          </w:rPr>
          <w:instrText xml:space="preserve"> PAGEREF _Toc345794262 \h </w:instrText>
        </w:r>
        <w:r>
          <w:rPr>
            <w:webHidden/>
          </w:rPr>
        </w:r>
        <w:r>
          <w:rPr>
            <w:webHidden/>
          </w:rPr>
          <w:fldChar w:fldCharType="separate"/>
        </w:r>
        <w:r>
          <w:rPr>
            <w:webHidden/>
          </w:rPr>
          <w:t>21</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3" w:history="1">
        <w:r w:rsidRPr="00376E18">
          <w:rPr>
            <w:rStyle w:val="Hipervnculo"/>
          </w:rPr>
          <w:t>Performance and Results</w:t>
        </w:r>
        <w:r>
          <w:rPr>
            <w:webHidden/>
          </w:rPr>
          <w:tab/>
        </w:r>
        <w:r>
          <w:rPr>
            <w:webHidden/>
          </w:rPr>
          <w:fldChar w:fldCharType="begin"/>
        </w:r>
        <w:r>
          <w:rPr>
            <w:webHidden/>
          </w:rPr>
          <w:instrText xml:space="preserve"> PAGEREF _Toc345794263 \h </w:instrText>
        </w:r>
        <w:r>
          <w:rPr>
            <w:webHidden/>
          </w:rPr>
        </w:r>
        <w:r>
          <w:rPr>
            <w:webHidden/>
          </w:rPr>
          <w:fldChar w:fldCharType="separate"/>
        </w:r>
        <w:r>
          <w:rPr>
            <w:webHidden/>
          </w:rPr>
          <w:t>23</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4" w:history="1">
        <w:r w:rsidRPr="00376E18">
          <w:rPr>
            <w:rStyle w:val="Hipervnculo"/>
          </w:rPr>
          <w:t>Lessons for NDVI Pasture Insurance in SWBA, Argentina</w:t>
        </w:r>
        <w:r>
          <w:rPr>
            <w:webHidden/>
          </w:rPr>
          <w:tab/>
        </w:r>
        <w:r>
          <w:rPr>
            <w:webHidden/>
          </w:rPr>
          <w:fldChar w:fldCharType="begin"/>
        </w:r>
        <w:r>
          <w:rPr>
            <w:webHidden/>
          </w:rPr>
          <w:instrText xml:space="preserve"> PAGEREF _Toc345794264 \h </w:instrText>
        </w:r>
        <w:r>
          <w:rPr>
            <w:webHidden/>
          </w:rPr>
        </w:r>
        <w:r>
          <w:rPr>
            <w:webHidden/>
          </w:rPr>
          <w:fldChar w:fldCharType="separate"/>
        </w:r>
        <w:r>
          <w:rPr>
            <w:webHidden/>
          </w:rPr>
          <w:t>24</w:t>
        </w:r>
        <w:r>
          <w:rPr>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65" w:history="1">
        <w:r w:rsidRPr="00376E18">
          <w:rPr>
            <w:rStyle w:val="Hipervnculo"/>
            <w:noProof/>
          </w:rPr>
          <w:t>4.</w:t>
        </w:r>
        <w:r>
          <w:rPr>
            <w:rFonts w:asciiTheme="minorHAnsi" w:eastAsiaTheme="minorEastAsia" w:hAnsiTheme="minorHAnsi" w:cstheme="minorBidi"/>
            <w:b w:val="0"/>
            <w:noProof/>
            <w:szCs w:val="22"/>
            <w:lang w:val="es-AR" w:eastAsia="es-AR"/>
          </w:rPr>
          <w:tab/>
        </w:r>
        <w:r w:rsidRPr="00376E18">
          <w:rPr>
            <w:rStyle w:val="Hipervnculo"/>
            <w:noProof/>
          </w:rPr>
          <w:t>NDVI-Pasture Insurance Database Development in SWBA</w:t>
        </w:r>
        <w:r>
          <w:rPr>
            <w:noProof/>
            <w:webHidden/>
          </w:rPr>
          <w:tab/>
        </w:r>
        <w:r>
          <w:rPr>
            <w:noProof/>
            <w:webHidden/>
          </w:rPr>
          <w:fldChar w:fldCharType="begin"/>
        </w:r>
        <w:r>
          <w:rPr>
            <w:noProof/>
            <w:webHidden/>
          </w:rPr>
          <w:instrText xml:space="preserve"> PAGEREF _Toc345794265 \h </w:instrText>
        </w:r>
        <w:r>
          <w:rPr>
            <w:noProof/>
            <w:webHidden/>
          </w:rPr>
        </w:r>
        <w:r>
          <w:rPr>
            <w:noProof/>
            <w:webHidden/>
          </w:rPr>
          <w:fldChar w:fldCharType="separate"/>
        </w:r>
        <w:r>
          <w:rPr>
            <w:noProof/>
            <w:webHidden/>
          </w:rPr>
          <w:t>26</w:t>
        </w:r>
        <w:r>
          <w:rPr>
            <w:noProof/>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6" w:history="1">
        <w:r w:rsidRPr="00376E18">
          <w:rPr>
            <w:rStyle w:val="Hipervnculo"/>
            <w:lang w:eastAsia="es-NI"/>
          </w:rPr>
          <w:t>Features of the NDVI Information and Data Analysis for South West of Buenos Aires</w:t>
        </w:r>
        <w:r>
          <w:rPr>
            <w:webHidden/>
          </w:rPr>
          <w:tab/>
        </w:r>
        <w:r>
          <w:rPr>
            <w:webHidden/>
          </w:rPr>
          <w:fldChar w:fldCharType="begin"/>
        </w:r>
        <w:r>
          <w:rPr>
            <w:webHidden/>
          </w:rPr>
          <w:instrText xml:space="preserve"> PAGEREF _Toc345794266 \h </w:instrText>
        </w:r>
        <w:r>
          <w:rPr>
            <w:webHidden/>
          </w:rPr>
        </w:r>
        <w:r>
          <w:rPr>
            <w:webHidden/>
          </w:rPr>
          <w:fldChar w:fldCharType="separate"/>
        </w:r>
        <w:r>
          <w:rPr>
            <w:webHidden/>
          </w:rPr>
          <w:t>26</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7" w:history="1">
        <w:r w:rsidRPr="00376E18">
          <w:rPr>
            <w:rStyle w:val="Hipervnculo"/>
            <w:lang w:eastAsia="es-NI"/>
          </w:rPr>
          <w:t>NDVI Data Checking, Cleaning and Missing Data</w:t>
        </w:r>
        <w:r>
          <w:rPr>
            <w:webHidden/>
          </w:rPr>
          <w:tab/>
        </w:r>
        <w:r>
          <w:rPr>
            <w:webHidden/>
          </w:rPr>
          <w:fldChar w:fldCharType="begin"/>
        </w:r>
        <w:r>
          <w:rPr>
            <w:webHidden/>
          </w:rPr>
          <w:instrText xml:space="preserve"> PAGEREF _Toc345794267 \h </w:instrText>
        </w:r>
        <w:r>
          <w:rPr>
            <w:webHidden/>
          </w:rPr>
        </w:r>
        <w:r>
          <w:rPr>
            <w:webHidden/>
          </w:rPr>
          <w:fldChar w:fldCharType="separate"/>
        </w:r>
        <w:r>
          <w:rPr>
            <w:webHidden/>
          </w:rPr>
          <w:t>27</w:t>
        </w:r>
        <w:r>
          <w:rPr>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68" w:history="1">
        <w:r w:rsidRPr="00376E18">
          <w:rPr>
            <w:rStyle w:val="Hipervnculo"/>
            <w:noProof/>
          </w:rPr>
          <w:t>5.</w:t>
        </w:r>
        <w:r>
          <w:rPr>
            <w:rFonts w:asciiTheme="minorHAnsi" w:eastAsiaTheme="minorEastAsia" w:hAnsiTheme="minorHAnsi" w:cstheme="minorBidi"/>
            <w:b w:val="0"/>
            <w:noProof/>
            <w:szCs w:val="22"/>
            <w:lang w:val="es-AR" w:eastAsia="es-AR"/>
          </w:rPr>
          <w:tab/>
        </w:r>
        <w:r w:rsidRPr="00376E18">
          <w:rPr>
            <w:rStyle w:val="Hipervnculo"/>
            <w:noProof/>
          </w:rPr>
          <w:t>NDVI Pasture Index Insurance: Product Design and Rating</w:t>
        </w:r>
        <w:r>
          <w:rPr>
            <w:noProof/>
            <w:webHidden/>
          </w:rPr>
          <w:tab/>
        </w:r>
        <w:r>
          <w:rPr>
            <w:noProof/>
            <w:webHidden/>
          </w:rPr>
          <w:fldChar w:fldCharType="begin"/>
        </w:r>
        <w:r>
          <w:rPr>
            <w:noProof/>
            <w:webHidden/>
          </w:rPr>
          <w:instrText xml:space="preserve"> PAGEREF _Toc345794268 \h </w:instrText>
        </w:r>
        <w:r>
          <w:rPr>
            <w:noProof/>
            <w:webHidden/>
          </w:rPr>
        </w:r>
        <w:r>
          <w:rPr>
            <w:noProof/>
            <w:webHidden/>
          </w:rPr>
          <w:fldChar w:fldCharType="separate"/>
        </w:r>
        <w:r>
          <w:rPr>
            <w:noProof/>
            <w:webHidden/>
          </w:rPr>
          <w:t>32</w:t>
        </w:r>
        <w:r>
          <w:rPr>
            <w:noProof/>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69" w:history="1">
        <w:r w:rsidRPr="00376E18">
          <w:rPr>
            <w:rStyle w:val="Hipervnculo"/>
          </w:rPr>
          <w:t>Insured Interest and Rationale for Macro-Level NDVI Cover</w:t>
        </w:r>
        <w:r>
          <w:rPr>
            <w:webHidden/>
          </w:rPr>
          <w:tab/>
        </w:r>
        <w:r>
          <w:rPr>
            <w:webHidden/>
          </w:rPr>
          <w:fldChar w:fldCharType="begin"/>
        </w:r>
        <w:r>
          <w:rPr>
            <w:webHidden/>
          </w:rPr>
          <w:instrText xml:space="preserve"> PAGEREF _Toc345794269 \h </w:instrText>
        </w:r>
        <w:r>
          <w:rPr>
            <w:webHidden/>
          </w:rPr>
        </w:r>
        <w:r>
          <w:rPr>
            <w:webHidden/>
          </w:rPr>
          <w:fldChar w:fldCharType="separate"/>
        </w:r>
        <w:r>
          <w:rPr>
            <w:webHidden/>
          </w:rPr>
          <w:t>32</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0" w:history="1">
        <w:r w:rsidRPr="00376E18">
          <w:rPr>
            <w:rStyle w:val="Hipervnculo"/>
          </w:rPr>
          <w:t>Insured Unit and Definition of Homogeneous Risk Zones</w:t>
        </w:r>
        <w:r>
          <w:rPr>
            <w:webHidden/>
          </w:rPr>
          <w:tab/>
        </w:r>
        <w:r>
          <w:rPr>
            <w:webHidden/>
          </w:rPr>
          <w:fldChar w:fldCharType="begin"/>
        </w:r>
        <w:r>
          <w:rPr>
            <w:webHidden/>
          </w:rPr>
          <w:instrText xml:space="preserve"> PAGEREF _Toc345794270 \h </w:instrText>
        </w:r>
        <w:r>
          <w:rPr>
            <w:webHidden/>
          </w:rPr>
        </w:r>
        <w:r>
          <w:rPr>
            <w:webHidden/>
          </w:rPr>
          <w:fldChar w:fldCharType="separate"/>
        </w:r>
        <w:r>
          <w:rPr>
            <w:webHidden/>
          </w:rPr>
          <w:t>34</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1" w:history="1">
        <w:r w:rsidRPr="00376E18">
          <w:rPr>
            <w:rStyle w:val="Hipervnculo"/>
          </w:rPr>
          <w:t>Definition of the Cover Period for the NDVI Pasture Insurance Program</w:t>
        </w:r>
        <w:r>
          <w:rPr>
            <w:webHidden/>
          </w:rPr>
          <w:tab/>
        </w:r>
        <w:r>
          <w:rPr>
            <w:webHidden/>
          </w:rPr>
          <w:fldChar w:fldCharType="begin"/>
        </w:r>
        <w:r>
          <w:rPr>
            <w:webHidden/>
          </w:rPr>
          <w:instrText xml:space="preserve"> PAGEREF _Toc345794271 \h </w:instrText>
        </w:r>
        <w:r>
          <w:rPr>
            <w:webHidden/>
          </w:rPr>
        </w:r>
        <w:r>
          <w:rPr>
            <w:webHidden/>
          </w:rPr>
          <w:fldChar w:fldCharType="separate"/>
        </w:r>
        <w:r>
          <w:rPr>
            <w:webHidden/>
          </w:rPr>
          <w:t>36</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2" w:history="1">
        <w:r w:rsidRPr="00376E18">
          <w:rPr>
            <w:rStyle w:val="Hipervnculo"/>
          </w:rPr>
          <w:t>Insured Categories of Cattle and Numbers of Insured Animals in SWBA</w:t>
        </w:r>
        <w:r>
          <w:rPr>
            <w:webHidden/>
          </w:rPr>
          <w:tab/>
        </w:r>
        <w:r>
          <w:rPr>
            <w:webHidden/>
          </w:rPr>
          <w:fldChar w:fldCharType="begin"/>
        </w:r>
        <w:r>
          <w:rPr>
            <w:webHidden/>
          </w:rPr>
          <w:instrText xml:space="preserve"> PAGEREF _Toc345794272 \h </w:instrText>
        </w:r>
        <w:r>
          <w:rPr>
            <w:webHidden/>
          </w:rPr>
        </w:r>
        <w:r>
          <w:rPr>
            <w:webHidden/>
          </w:rPr>
          <w:fldChar w:fldCharType="separate"/>
        </w:r>
        <w:r>
          <w:rPr>
            <w:webHidden/>
          </w:rPr>
          <w:t>38</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3" w:history="1">
        <w:r w:rsidRPr="00376E18">
          <w:rPr>
            <w:rStyle w:val="Hipervnculo"/>
          </w:rPr>
          <w:t>Basis of Valuation and Sum Insured</w:t>
        </w:r>
        <w:r>
          <w:rPr>
            <w:webHidden/>
          </w:rPr>
          <w:tab/>
        </w:r>
        <w:r>
          <w:rPr>
            <w:webHidden/>
          </w:rPr>
          <w:fldChar w:fldCharType="begin"/>
        </w:r>
        <w:r>
          <w:rPr>
            <w:webHidden/>
          </w:rPr>
          <w:instrText xml:space="preserve"> PAGEREF _Toc345794273 \h </w:instrText>
        </w:r>
        <w:r>
          <w:rPr>
            <w:webHidden/>
          </w:rPr>
        </w:r>
        <w:r>
          <w:rPr>
            <w:webHidden/>
          </w:rPr>
          <w:fldChar w:fldCharType="separate"/>
        </w:r>
        <w:r>
          <w:rPr>
            <w:webHidden/>
          </w:rPr>
          <w:t>40</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4" w:history="1">
        <w:r w:rsidRPr="00376E18">
          <w:rPr>
            <w:rStyle w:val="Hipervnculo"/>
          </w:rPr>
          <w:t>NDVI-Pasture Index Rating Methodology and Calculated Technical Rates</w:t>
        </w:r>
        <w:r>
          <w:rPr>
            <w:webHidden/>
          </w:rPr>
          <w:tab/>
        </w:r>
        <w:r>
          <w:rPr>
            <w:webHidden/>
          </w:rPr>
          <w:fldChar w:fldCharType="begin"/>
        </w:r>
        <w:r>
          <w:rPr>
            <w:webHidden/>
          </w:rPr>
          <w:instrText xml:space="preserve"> PAGEREF _Toc345794274 \h </w:instrText>
        </w:r>
        <w:r>
          <w:rPr>
            <w:webHidden/>
          </w:rPr>
        </w:r>
        <w:r>
          <w:rPr>
            <w:webHidden/>
          </w:rPr>
          <w:fldChar w:fldCharType="separate"/>
        </w:r>
        <w:r>
          <w:rPr>
            <w:webHidden/>
          </w:rPr>
          <w:t>45</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5" w:history="1">
        <w:r w:rsidRPr="00376E18">
          <w:rPr>
            <w:rStyle w:val="Hipervnculo"/>
          </w:rPr>
          <w:t>Probable Maximum Loss Estimation for SWBA NDVI Program</w:t>
        </w:r>
        <w:r>
          <w:rPr>
            <w:webHidden/>
          </w:rPr>
          <w:tab/>
        </w:r>
        <w:r>
          <w:rPr>
            <w:webHidden/>
          </w:rPr>
          <w:fldChar w:fldCharType="begin"/>
        </w:r>
        <w:r>
          <w:rPr>
            <w:webHidden/>
          </w:rPr>
          <w:instrText xml:space="preserve"> PAGEREF _Toc345794275 \h </w:instrText>
        </w:r>
        <w:r>
          <w:rPr>
            <w:webHidden/>
          </w:rPr>
        </w:r>
        <w:r>
          <w:rPr>
            <w:webHidden/>
          </w:rPr>
          <w:fldChar w:fldCharType="separate"/>
        </w:r>
        <w:r>
          <w:rPr>
            <w:webHidden/>
          </w:rPr>
          <w:t>56</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6" w:history="1">
        <w:r w:rsidRPr="00376E18">
          <w:rPr>
            <w:rStyle w:val="Hipervnculo"/>
          </w:rPr>
          <w:t>Conclusions on NDVI Contract Design and Rating Study</w:t>
        </w:r>
        <w:r>
          <w:rPr>
            <w:webHidden/>
          </w:rPr>
          <w:tab/>
        </w:r>
        <w:r>
          <w:rPr>
            <w:webHidden/>
          </w:rPr>
          <w:fldChar w:fldCharType="begin"/>
        </w:r>
        <w:r>
          <w:rPr>
            <w:webHidden/>
          </w:rPr>
          <w:instrText xml:space="preserve"> PAGEREF _Toc345794276 \h </w:instrText>
        </w:r>
        <w:r>
          <w:rPr>
            <w:webHidden/>
          </w:rPr>
        </w:r>
        <w:r>
          <w:rPr>
            <w:webHidden/>
          </w:rPr>
          <w:fldChar w:fldCharType="separate"/>
        </w:r>
        <w:r>
          <w:rPr>
            <w:webHidden/>
          </w:rPr>
          <w:t>58</w:t>
        </w:r>
        <w:r>
          <w:rPr>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77" w:history="1">
        <w:r w:rsidRPr="00376E18">
          <w:rPr>
            <w:rStyle w:val="Hipervnculo"/>
            <w:noProof/>
          </w:rPr>
          <w:t>6.</w:t>
        </w:r>
        <w:r>
          <w:rPr>
            <w:rFonts w:asciiTheme="minorHAnsi" w:eastAsiaTheme="minorEastAsia" w:hAnsiTheme="minorHAnsi" w:cstheme="minorBidi"/>
            <w:b w:val="0"/>
            <w:noProof/>
            <w:szCs w:val="22"/>
            <w:lang w:val="es-AR" w:eastAsia="es-AR"/>
          </w:rPr>
          <w:tab/>
        </w:r>
        <w:r w:rsidRPr="00376E18">
          <w:rPr>
            <w:rStyle w:val="Hipervnculo"/>
            <w:noProof/>
          </w:rPr>
          <w:t>Legal, Institutional, Operational and Financial Considerations for NDVI Pasture Insurance</w:t>
        </w:r>
        <w:r>
          <w:rPr>
            <w:noProof/>
            <w:webHidden/>
          </w:rPr>
          <w:tab/>
        </w:r>
        <w:r>
          <w:rPr>
            <w:noProof/>
            <w:webHidden/>
          </w:rPr>
          <w:fldChar w:fldCharType="begin"/>
        </w:r>
        <w:r>
          <w:rPr>
            <w:noProof/>
            <w:webHidden/>
          </w:rPr>
          <w:instrText xml:space="preserve"> PAGEREF _Toc345794277 \h </w:instrText>
        </w:r>
        <w:r>
          <w:rPr>
            <w:noProof/>
            <w:webHidden/>
          </w:rPr>
        </w:r>
        <w:r>
          <w:rPr>
            <w:noProof/>
            <w:webHidden/>
          </w:rPr>
          <w:fldChar w:fldCharType="separate"/>
        </w:r>
        <w:r>
          <w:rPr>
            <w:noProof/>
            <w:webHidden/>
          </w:rPr>
          <w:t>60</w:t>
        </w:r>
        <w:r>
          <w:rPr>
            <w:noProof/>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8" w:history="1">
        <w:r w:rsidRPr="00376E18">
          <w:rPr>
            <w:rStyle w:val="Hipervnculo"/>
          </w:rPr>
          <w:t>Legal Considerations for NDVI Insurance</w:t>
        </w:r>
        <w:r>
          <w:rPr>
            <w:webHidden/>
          </w:rPr>
          <w:tab/>
        </w:r>
        <w:r>
          <w:rPr>
            <w:webHidden/>
          </w:rPr>
          <w:fldChar w:fldCharType="begin"/>
        </w:r>
        <w:r>
          <w:rPr>
            <w:webHidden/>
          </w:rPr>
          <w:instrText xml:space="preserve"> PAGEREF _Toc345794278 \h </w:instrText>
        </w:r>
        <w:r>
          <w:rPr>
            <w:webHidden/>
          </w:rPr>
        </w:r>
        <w:r>
          <w:rPr>
            <w:webHidden/>
          </w:rPr>
          <w:fldChar w:fldCharType="separate"/>
        </w:r>
        <w:r>
          <w:rPr>
            <w:webHidden/>
          </w:rPr>
          <w:t>60</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79" w:history="1">
        <w:r w:rsidRPr="00376E18">
          <w:rPr>
            <w:rStyle w:val="Hipervnculo"/>
          </w:rPr>
          <w:t>Institutional Considerations for NDVI Insurance</w:t>
        </w:r>
        <w:r>
          <w:rPr>
            <w:webHidden/>
          </w:rPr>
          <w:tab/>
        </w:r>
        <w:r>
          <w:rPr>
            <w:webHidden/>
          </w:rPr>
          <w:fldChar w:fldCharType="begin"/>
        </w:r>
        <w:r>
          <w:rPr>
            <w:webHidden/>
          </w:rPr>
          <w:instrText xml:space="preserve"> PAGEREF _Toc345794279 \h </w:instrText>
        </w:r>
        <w:r>
          <w:rPr>
            <w:webHidden/>
          </w:rPr>
        </w:r>
        <w:r>
          <w:rPr>
            <w:webHidden/>
          </w:rPr>
          <w:fldChar w:fldCharType="separate"/>
        </w:r>
        <w:r>
          <w:rPr>
            <w:webHidden/>
          </w:rPr>
          <w:t>61</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80" w:history="1">
        <w:r w:rsidRPr="00376E18">
          <w:rPr>
            <w:rStyle w:val="Hipervnculo"/>
          </w:rPr>
          <w:t>Operational Considerations for NDVI Insurance</w:t>
        </w:r>
        <w:r>
          <w:rPr>
            <w:webHidden/>
          </w:rPr>
          <w:tab/>
        </w:r>
        <w:r>
          <w:rPr>
            <w:webHidden/>
          </w:rPr>
          <w:fldChar w:fldCharType="begin"/>
        </w:r>
        <w:r>
          <w:rPr>
            <w:webHidden/>
          </w:rPr>
          <w:instrText xml:space="preserve"> PAGEREF _Toc345794280 \h </w:instrText>
        </w:r>
        <w:r>
          <w:rPr>
            <w:webHidden/>
          </w:rPr>
        </w:r>
        <w:r>
          <w:rPr>
            <w:webHidden/>
          </w:rPr>
          <w:fldChar w:fldCharType="separate"/>
        </w:r>
        <w:r>
          <w:rPr>
            <w:webHidden/>
          </w:rPr>
          <w:t>65</w:t>
        </w:r>
        <w:r>
          <w:rPr>
            <w:webHidden/>
          </w:rPr>
          <w:fldChar w:fldCharType="end"/>
        </w:r>
      </w:hyperlink>
    </w:p>
    <w:p w:rsidR="00536C63" w:rsidRDefault="00536C63">
      <w:pPr>
        <w:pStyle w:val="TDC2"/>
        <w:rPr>
          <w:rFonts w:asciiTheme="minorHAnsi" w:eastAsiaTheme="minorEastAsia" w:hAnsiTheme="minorHAnsi" w:cstheme="minorBidi"/>
          <w:szCs w:val="22"/>
          <w:lang w:val="es-AR" w:eastAsia="es-AR"/>
        </w:rPr>
      </w:pPr>
      <w:hyperlink w:anchor="_Toc345794281" w:history="1">
        <w:r w:rsidRPr="00376E18">
          <w:rPr>
            <w:rStyle w:val="Hipervnculo"/>
          </w:rPr>
          <w:t>Financial and Reinsurance Considerations for NDVI Insurance</w:t>
        </w:r>
        <w:r>
          <w:rPr>
            <w:webHidden/>
          </w:rPr>
          <w:tab/>
        </w:r>
        <w:r>
          <w:rPr>
            <w:webHidden/>
          </w:rPr>
          <w:fldChar w:fldCharType="begin"/>
        </w:r>
        <w:r>
          <w:rPr>
            <w:webHidden/>
          </w:rPr>
          <w:instrText xml:space="preserve"> PAGEREF _Toc345794281 \h </w:instrText>
        </w:r>
        <w:r>
          <w:rPr>
            <w:webHidden/>
          </w:rPr>
        </w:r>
        <w:r>
          <w:rPr>
            <w:webHidden/>
          </w:rPr>
          <w:fldChar w:fldCharType="separate"/>
        </w:r>
        <w:r>
          <w:rPr>
            <w:webHidden/>
          </w:rPr>
          <w:t>67</w:t>
        </w:r>
        <w:r>
          <w:rPr>
            <w:webHidden/>
          </w:rPr>
          <w:fldChar w:fldCharType="end"/>
        </w:r>
      </w:hyperlink>
    </w:p>
    <w:p w:rsidR="00536C63" w:rsidRDefault="00536C63">
      <w:pPr>
        <w:pStyle w:val="TDC1"/>
        <w:tabs>
          <w:tab w:val="left" w:pos="658"/>
          <w:tab w:val="right" w:leader="dot" w:pos="8630"/>
        </w:tabs>
        <w:rPr>
          <w:rFonts w:asciiTheme="minorHAnsi" w:eastAsiaTheme="minorEastAsia" w:hAnsiTheme="minorHAnsi" w:cstheme="minorBidi"/>
          <w:b w:val="0"/>
          <w:noProof/>
          <w:szCs w:val="22"/>
          <w:lang w:val="es-AR" w:eastAsia="es-AR"/>
        </w:rPr>
      </w:pPr>
      <w:hyperlink w:anchor="_Toc345794282" w:history="1">
        <w:r w:rsidRPr="00376E18">
          <w:rPr>
            <w:rStyle w:val="Hipervnculo"/>
            <w:noProof/>
          </w:rPr>
          <w:t>7.</w:t>
        </w:r>
        <w:r>
          <w:rPr>
            <w:rFonts w:asciiTheme="minorHAnsi" w:eastAsiaTheme="minorEastAsia" w:hAnsiTheme="minorHAnsi" w:cstheme="minorBidi"/>
            <w:b w:val="0"/>
            <w:noProof/>
            <w:szCs w:val="22"/>
            <w:lang w:val="es-AR" w:eastAsia="es-AR"/>
          </w:rPr>
          <w:tab/>
        </w:r>
        <w:r w:rsidRPr="00376E18">
          <w:rPr>
            <w:rStyle w:val="Hipervnculo"/>
            <w:noProof/>
          </w:rPr>
          <w:t>Conclusions, Recommendations and Next Steps for Pasture NDVI Insurance Program in SWBA</w:t>
        </w:r>
        <w:r>
          <w:rPr>
            <w:noProof/>
            <w:webHidden/>
          </w:rPr>
          <w:tab/>
        </w:r>
        <w:r>
          <w:rPr>
            <w:noProof/>
            <w:webHidden/>
          </w:rPr>
          <w:fldChar w:fldCharType="begin"/>
        </w:r>
        <w:r>
          <w:rPr>
            <w:noProof/>
            <w:webHidden/>
          </w:rPr>
          <w:instrText xml:space="preserve"> PAGEREF _Toc345794282 \h </w:instrText>
        </w:r>
        <w:r>
          <w:rPr>
            <w:noProof/>
            <w:webHidden/>
          </w:rPr>
        </w:r>
        <w:r>
          <w:rPr>
            <w:noProof/>
            <w:webHidden/>
          </w:rPr>
          <w:fldChar w:fldCharType="separate"/>
        </w:r>
        <w:r>
          <w:rPr>
            <w:noProof/>
            <w:webHidden/>
          </w:rPr>
          <w:t>72</w:t>
        </w:r>
        <w:r>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83" w:history="1">
        <w:r w:rsidRPr="00376E18">
          <w:rPr>
            <w:rStyle w:val="Hipervnculo"/>
            <w:noProof/>
          </w:rPr>
          <w:t>Bibliography</w:t>
        </w:r>
        <w:r>
          <w:rPr>
            <w:noProof/>
            <w:webHidden/>
          </w:rPr>
          <w:tab/>
        </w:r>
        <w:r>
          <w:rPr>
            <w:noProof/>
            <w:webHidden/>
          </w:rPr>
          <w:fldChar w:fldCharType="begin"/>
        </w:r>
        <w:r>
          <w:rPr>
            <w:noProof/>
            <w:webHidden/>
          </w:rPr>
          <w:instrText xml:space="preserve"> PAGEREF _Toc345794283 \h </w:instrText>
        </w:r>
        <w:r>
          <w:rPr>
            <w:noProof/>
            <w:webHidden/>
          </w:rPr>
        </w:r>
        <w:r>
          <w:rPr>
            <w:noProof/>
            <w:webHidden/>
          </w:rPr>
          <w:fldChar w:fldCharType="separate"/>
        </w:r>
        <w:r>
          <w:rPr>
            <w:noProof/>
            <w:webHidden/>
          </w:rPr>
          <w:t>76</w:t>
        </w:r>
        <w:r>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84" w:history="1">
        <w:r w:rsidRPr="00376E18">
          <w:rPr>
            <w:rStyle w:val="Hipervnculo"/>
            <w:noProof/>
          </w:rPr>
          <w:t>Annex 1.  Normalized Difference Vegetation Index (NDVI) Photosynthetically Active Radiation absorbed by the plant canopy (FPAR) Database development in SWBA Province Argentina</w:t>
        </w:r>
        <w:r>
          <w:rPr>
            <w:noProof/>
            <w:webHidden/>
          </w:rPr>
          <w:tab/>
        </w:r>
        <w:r>
          <w:rPr>
            <w:noProof/>
            <w:webHidden/>
          </w:rPr>
          <w:fldChar w:fldCharType="begin"/>
        </w:r>
        <w:r>
          <w:rPr>
            <w:noProof/>
            <w:webHidden/>
          </w:rPr>
          <w:instrText xml:space="preserve"> PAGEREF _Toc345794284 \h </w:instrText>
        </w:r>
        <w:r>
          <w:rPr>
            <w:noProof/>
            <w:webHidden/>
          </w:rPr>
        </w:r>
        <w:r>
          <w:rPr>
            <w:noProof/>
            <w:webHidden/>
          </w:rPr>
          <w:fldChar w:fldCharType="separate"/>
        </w:r>
        <w:r>
          <w:rPr>
            <w:noProof/>
            <w:webHidden/>
          </w:rPr>
          <w:t>79</w:t>
        </w:r>
        <w:r>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85" w:history="1">
        <w:r w:rsidRPr="00376E18">
          <w:rPr>
            <w:rStyle w:val="Hipervnculo"/>
            <w:noProof/>
          </w:rPr>
          <w:t>Annex 2. Normalized Difference Vegetation Index (NDVI) Pasture Index-based Insurance Prototype Options and Rating Manual for SWBA</w:t>
        </w:r>
        <w:r>
          <w:rPr>
            <w:noProof/>
            <w:webHidden/>
          </w:rPr>
          <w:tab/>
        </w:r>
        <w:r>
          <w:rPr>
            <w:noProof/>
            <w:webHidden/>
          </w:rPr>
          <w:fldChar w:fldCharType="begin"/>
        </w:r>
        <w:r>
          <w:rPr>
            <w:noProof/>
            <w:webHidden/>
          </w:rPr>
          <w:instrText xml:space="preserve"> PAGEREF _Toc345794285 \h </w:instrText>
        </w:r>
        <w:r>
          <w:rPr>
            <w:noProof/>
            <w:webHidden/>
          </w:rPr>
        </w:r>
        <w:r>
          <w:rPr>
            <w:noProof/>
            <w:webHidden/>
          </w:rPr>
          <w:fldChar w:fldCharType="separate"/>
        </w:r>
        <w:r>
          <w:rPr>
            <w:noProof/>
            <w:webHidden/>
          </w:rPr>
          <w:t>88</w:t>
        </w:r>
        <w:r>
          <w:rPr>
            <w:noProof/>
            <w:webHidden/>
          </w:rPr>
          <w:fldChar w:fldCharType="end"/>
        </w:r>
      </w:hyperlink>
    </w:p>
    <w:p w:rsidR="00536C63" w:rsidRDefault="00536C63">
      <w:pPr>
        <w:pStyle w:val="TDC1"/>
        <w:tabs>
          <w:tab w:val="right" w:leader="dot" w:pos="8630"/>
        </w:tabs>
        <w:rPr>
          <w:rFonts w:asciiTheme="minorHAnsi" w:eastAsiaTheme="minorEastAsia" w:hAnsiTheme="minorHAnsi" w:cstheme="minorBidi"/>
          <w:b w:val="0"/>
          <w:noProof/>
          <w:szCs w:val="22"/>
          <w:lang w:val="es-AR" w:eastAsia="es-AR"/>
        </w:rPr>
      </w:pPr>
      <w:hyperlink w:anchor="_Toc345794286" w:history="1">
        <w:r w:rsidRPr="00376E18">
          <w:rPr>
            <w:rStyle w:val="Hipervnculo"/>
            <w:noProof/>
          </w:rPr>
          <w:t>Annex 3. Institutional Framework and Options for NDVI Insurance in SWBA, Argentina</w:t>
        </w:r>
        <w:r>
          <w:rPr>
            <w:noProof/>
            <w:webHidden/>
          </w:rPr>
          <w:tab/>
        </w:r>
        <w:r>
          <w:rPr>
            <w:noProof/>
            <w:webHidden/>
          </w:rPr>
          <w:fldChar w:fldCharType="begin"/>
        </w:r>
        <w:r>
          <w:rPr>
            <w:noProof/>
            <w:webHidden/>
          </w:rPr>
          <w:instrText xml:space="preserve"> PAGEREF _Toc345794286 \h </w:instrText>
        </w:r>
        <w:r>
          <w:rPr>
            <w:noProof/>
            <w:webHidden/>
          </w:rPr>
        </w:r>
        <w:r>
          <w:rPr>
            <w:noProof/>
            <w:webHidden/>
          </w:rPr>
          <w:fldChar w:fldCharType="separate"/>
        </w:r>
        <w:r>
          <w:rPr>
            <w:noProof/>
            <w:webHidden/>
          </w:rPr>
          <w:t>114</w:t>
        </w:r>
        <w:r>
          <w:rPr>
            <w:noProof/>
            <w:webHidden/>
          </w:rPr>
          <w:fldChar w:fldCharType="end"/>
        </w:r>
      </w:hyperlink>
    </w:p>
    <w:p w:rsidR="00EC4918" w:rsidRPr="00FE24C0" w:rsidRDefault="003F5785">
      <w:pPr>
        <w:spacing w:after="120"/>
        <w:rPr>
          <w:szCs w:val="22"/>
        </w:rPr>
      </w:pPr>
      <w:r w:rsidRPr="00FE24C0">
        <w:rPr>
          <w:lang w:eastAsia="en-US" w:bidi="th-TH"/>
        </w:rPr>
        <w:fldChar w:fldCharType="end"/>
      </w:r>
    </w:p>
    <w:p w:rsidR="007754D4" w:rsidRPr="00FE24C0" w:rsidRDefault="007A470A" w:rsidP="007754D4">
      <w:pPr>
        <w:rPr>
          <w:b/>
          <w:sz w:val="20"/>
          <w:szCs w:val="20"/>
        </w:rPr>
      </w:pPr>
      <w:r w:rsidRPr="00FE24C0">
        <w:rPr>
          <w:b/>
          <w:sz w:val="20"/>
          <w:szCs w:val="20"/>
        </w:rPr>
        <w:t xml:space="preserve">Disclaimer: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8"/>
      </w:tblGrid>
      <w:tr w:rsidR="007754D4" w:rsidRPr="00FE24C0" w:rsidTr="005E674B">
        <w:tc>
          <w:tcPr>
            <w:tcW w:w="8748" w:type="dxa"/>
          </w:tcPr>
          <w:p w:rsidR="00EC4918" w:rsidRPr="00FE24C0" w:rsidRDefault="007A470A">
            <w:pPr>
              <w:tabs>
                <w:tab w:val="center" w:pos="4320"/>
                <w:tab w:val="right" w:pos="8640"/>
              </w:tabs>
              <w:spacing w:after="120" w:line="276" w:lineRule="auto"/>
              <w:rPr>
                <w:color w:val="000000"/>
                <w:sz w:val="20"/>
                <w:szCs w:val="20"/>
              </w:rPr>
            </w:pPr>
            <w:r w:rsidRPr="00FE24C0">
              <w:rPr>
                <w:color w:val="000000"/>
                <w:sz w:val="20"/>
                <w:szCs w:val="20"/>
              </w:rPr>
              <w:t>This volume is a product of the staff of the International Bank for Reconstruction and Development / The World Bank. The findings, interpretations, and conclusions expressed in this paper do not necessarily reflect the views of the Executive Directors of The World Bank or the governments they represent.</w:t>
            </w:r>
          </w:p>
          <w:p w:rsidR="007754D4" w:rsidRPr="00FE24C0" w:rsidRDefault="007A470A" w:rsidP="00D96CBA">
            <w:pPr>
              <w:spacing w:after="0"/>
              <w:jc w:val="left"/>
            </w:pPr>
            <w:r w:rsidRPr="00FE24C0">
              <w:rPr>
                <w:color w:val="000000"/>
                <w:sz w:val="20"/>
                <w:szCs w:val="20"/>
              </w:rPr>
              <w:t>The World Bank does not guarantee the accuracy of the data included in this work. The boundaries, colors, denominations, and other information shown on any map in this work do not imply any</w:t>
            </w:r>
            <w:r w:rsidR="007754D4" w:rsidRPr="00FE24C0">
              <w:t xml:space="preserve"> </w:t>
            </w:r>
            <w:r w:rsidRPr="00FE24C0">
              <w:rPr>
                <w:color w:val="000000"/>
                <w:sz w:val="20"/>
                <w:szCs w:val="20"/>
              </w:rPr>
              <w:t>judgment on the part of The World Bank concerning the legal status of any territory or the endorsement or acceptance of such boundaries.</w:t>
            </w:r>
          </w:p>
        </w:tc>
      </w:tr>
    </w:tbl>
    <w:p w:rsidR="00C209D7" w:rsidRPr="00FE24C0" w:rsidRDefault="00A256C8" w:rsidP="005A2272">
      <w:pPr>
        <w:jc w:val="center"/>
        <w:outlineLvl w:val="0"/>
        <w:rPr>
          <w:b/>
          <w:sz w:val="16"/>
          <w:szCs w:val="16"/>
        </w:rPr>
      </w:pPr>
      <w:r w:rsidRPr="00FE24C0">
        <w:rPr>
          <w:b/>
          <w:sz w:val="32"/>
          <w:szCs w:val="32"/>
        </w:rPr>
        <w:br w:type="page"/>
      </w:r>
    </w:p>
    <w:p w:rsidR="00C209D7" w:rsidRPr="00FE24C0" w:rsidRDefault="00C209D7" w:rsidP="00C64A37">
      <w:pPr>
        <w:pStyle w:val="Ttulo1"/>
        <w:numPr>
          <w:ilvl w:val="0"/>
          <w:numId w:val="0"/>
        </w:numPr>
        <w:jc w:val="center"/>
        <w:rPr>
          <w:rFonts w:cs="Times New Roman"/>
        </w:rPr>
      </w:pPr>
      <w:bookmarkStart w:id="0" w:name="_Toc345794243"/>
      <w:r w:rsidRPr="00FE24C0">
        <w:rPr>
          <w:rFonts w:cs="Times New Roman"/>
        </w:rPr>
        <w:lastRenderedPageBreak/>
        <w:t>ACKNOWLEDGEMENTS</w:t>
      </w:r>
      <w:bookmarkEnd w:id="0"/>
    </w:p>
    <w:p w:rsidR="00C209D7" w:rsidRPr="00FE24C0" w:rsidRDefault="00C209D7" w:rsidP="00C209D7">
      <w:pPr>
        <w:autoSpaceDE w:val="0"/>
        <w:autoSpaceDN w:val="0"/>
        <w:adjustRightInd w:val="0"/>
        <w:rPr>
          <w:rFonts w:eastAsia="Times New Roman"/>
          <w:szCs w:val="22"/>
          <w:lang w:eastAsia="en-US"/>
        </w:rPr>
      </w:pPr>
      <w:r w:rsidRPr="00FE24C0">
        <w:rPr>
          <w:szCs w:val="22"/>
        </w:rPr>
        <w:t>The report was prepared by the World Bank in collaboration with the Agricultur</w:t>
      </w:r>
      <w:r w:rsidR="002F20E2" w:rsidRPr="00FE24C0">
        <w:rPr>
          <w:szCs w:val="22"/>
        </w:rPr>
        <w:t>al</w:t>
      </w:r>
      <w:r w:rsidRPr="00FE24C0">
        <w:rPr>
          <w:szCs w:val="22"/>
        </w:rPr>
        <w:t xml:space="preserve"> Risk Office – Ministry of Agriculture, Livestock, and Fisheries, Argentina (ORA-</w:t>
      </w:r>
      <w:r w:rsidR="00AD4EDA" w:rsidRPr="00FE24C0">
        <w:rPr>
          <w:szCs w:val="22"/>
        </w:rPr>
        <w:t>MAGyP</w:t>
      </w:r>
      <w:r w:rsidRPr="00FE24C0">
        <w:rPr>
          <w:szCs w:val="22"/>
        </w:rPr>
        <w:t>) and was authored by a team led by Diego Arias (Senior Agricultural Economist, LCSAR, The World Bank, Task Team leader)</w:t>
      </w:r>
      <w:r w:rsidR="008D761F" w:rsidRPr="00FE24C0">
        <w:rPr>
          <w:szCs w:val="22"/>
        </w:rPr>
        <w:t>,</w:t>
      </w:r>
      <w:r w:rsidRPr="00FE24C0">
        <w:rPr>
          <w:szCs w:val="22"/>
        </w:rPr>
        <w:t xml:space="preserve"> Pablo Valdivia (Agricultural Insurance Specialist, LCSAR, The World Bank), Charles Stutley (Agricultural Insurance Specialist, Consultant),</w:t>
      </w:r>
      <w:r w:rsidR="00AD4EDA" w:rsidRPr="00FE24C0">
        <w:rPr>
          <w:szCs w:val="22"/>
        </w:rPr>
        <w:t xml:space="preserve"> </w:t>
      </w:r>
      <w:r w:rsidRPr="00FE24C0">
        <w:rPr>
          <w:szCs w:val="22"/>
        </w:rPr>
        <w:t>and Da</w:t>
      </w:r>
      <w:r w:rsidR="00695F04">
        <w:rPr>
          <w:szCs w:val="22"/>
        </w:rPr>
        <w:t>río</w:t>
      </w:r>
      <w:r w:rsidRPr="00FE24C0">
        <w:rPr>
          <w:szCs w:val="22"/>
        </w:rPr>
        <w:t xml:space="preserve"> Ba</w:t>
      </w:r>
      <w:r w:rsidR="00AD4EDA" w:rsidRPr="00FE24C0">
        <w:rPr>
          <w:szCs w:val="22"/>
        </w:rPr>
        <w:t>c</w:t>
      </w:r>
      <w:r w:rsidRPr="00FE24C0">
        <w:rPr>
          <w:szCs w:val="22"/>
        </w:rPr>
        <w:t>chini (Actuarial and Rating Specialist, Consultant). The ORA-</w:t>
      </w:r>
      <w:r w:rsidR="00AD4EDA" w:rsidRPr="00FE24C0">
        <w:rPr>
          <w:szCs w:val="22"/>
        </w:rPr>
        <w:t>MAGyP</w:t>
      </w:r>
      <w:r w:rsidRPr="00FE24C0">
        <w:rPr>
          <w:szCs w:val="22"/>
        </w:rPr>
        <w:t xml:space="preserve"> team was comprised of Sandra Ochiuzzi (Coordinator, ORA-</w:t>
      </w:r>
      <w:r w:rsidR="00AD4EDA" w:rsidRPr="00FE24C0">
        <w:rPr>
          <w:szCs w:val="22"/>
        </w:rPr>
        <w:t>MAGyP</w:t>
      </w:r>
      <w:r w:rsidRPr="00FE24C0">
        <w:rPr>
          <w:szCs w:val="22"/>
        </w:rPr>
        <w:t xml:space="preserve">) </w:t>
      </w:r>
      <w:r w:rsidR="00AD4EDA" w:rsidRPr="00FE24C0">
        <w:rPr>
          <w:szCs w:val="22"/>
        </w:rPr>
        <w:t>and Daniel</w:t>
      </w:r>
      <w:r w:rsidRPr="00FE24C0">
        <w:rPr>
          <w:szCs w:val="22"/>
        </w:rPr>
        <w:t xml:space="preserve"> M</w:t>
      </w:r>
      <w:r w:rsidR="00AD4EDA" w:rsidRPr="00FE24C0">
        <w:rPr>
          <w:szCs w:val="22"/>
        </w:rPr>
        <w:t>í</w:t>
      </w:r>
      <w:r w:rsidRPr="00FE24C0">
        <w:rPr>
          <w:szCs w:val="22"/>
        </w:rPr>
        <w:t>guez (Insurance Expert, ORA-</w:t>
      </w:r>
      <w:r w:rsidR="00AD4EDA" w:rsidRPr="00FE24C0">
        <w:rPr>
          <w:szCs w:val="22"/>
        </w:rPr>
        <w:t>MAGyP</w:t>
      </w:r>
      <w:r w:rsidRPr="00FE24C0">
        <w:rPr>
          <w:szCs w:val="22"/>
        </w:rPr>
        <w:t xml:space="preserve">). </w:t>
      </w:r>
    </w:p>
    <w:p w:rsidR="00C209D7" w:rsidRPr="00FE24C0" w:rsidRDefault="00C209D7" w:rsidP="00C209D7">
      <w:pPr>
        <w:rPr>
          <w:szCs w:val="22"/>
        </w:rPr>
      </w:pPr>
      <w:r w:rsidRPr="00FE24C0">
        <w:rPr>
          <w:szCs w:val="22"/>
        </w:rPr>
        <w:t>The team acknowledges the contributions received of all stakeholders, including the Ministry of Agriculture, Livestock, and Fisheries (ORA-</w:t>
      </w:r>
      <w:r w:rsidR="00AD4EDA" w:rsidRPr="00FE24C0">
        <w:rPr>
          <w:szCs w:val="22"/>
        </w:rPr>
        <w:t>MAGyP</w:t>
      </w:r>
      <w:r w:rsidRPr="00FE24C0">
        <w:rPr>
          <w:szCs w:val="22"/>
        </w:rPr>
        <w:t>)</w:t>
      </w:r>
      <w:r w:rsidR="00AD4EDA" w:rsidRPr="00FE24C0">
        <w:rPr>
          <w:szCs w:val="22"/>
        </w:rPr>
        <w:t>,</w:t>
      </w:r>
      <w:r w:rsidRPr="00FE24C0">
        <w:rPr>
          <w:szCs w:val="22"/>
        </w:rPr>
        <w:t xml:space="preserve"> the Ministry of Agrarian Affairs of the Province of Buenos Aires</w:t>
      </w:r>
      <w:r w:rsidR="00AD4EDA" w:rsidRPr="00FE24C0">
        <w:rPr>
          <w:szCs w:val="22"/>
        </w:rPr>
        <w:t xml:space="preserve">, </w:t>
      </w:r>
      <w:r w:rsidRPr="00FE24C0">
        <w:rPr>
          <w:szCs w:val="22"/>
        </w:rPr>
        <w:t>Council for the Development of the South West of Buenos Aires</w:t>
      </w:r>
      <w:r w:rsidR="00AD4EDA" w:rsidRPr="00FE24C0">
        <w:rPr>
          <w:szCs w:val="22"/>
        </w:rPr>
        <w:t>,</w:t>
      </w:r>
      <w:r w:rsidRPr="00FE24C0">
        <w:rPr>
          <w:szCs w:val="22"/>
        </w:rPr>
        <w:t xml:space="preserve"> Superintendence of Insurance</w:t>
      </w:r>
      <w:r w:rsidR="00AD4EDA" w:rsidRPr="00FE24C0">
        <w:rPr>
          <w:szCs w:val="22"/>
        </w:rPr>
        <w:t>,</w:t>
      </w:r>
      <w:r w:rsidRPr="00FE24C0">
        <w:rPr>
          <w:szCs w:val="22"/>
        </w:rPr>
        <w:t xml:space="preserve"> Sub-Secretariat of Agriculture, National Direction of Livestock Production</w:t>
      </w:r>
      <w:r w:rsidR="00AD4EDA" w:rsidRPr="00FE24C0">
        <w:rPr>
          <w:szCs w:val="22"/>
        </w:rPr>
        <w:t xml:space="preserve"> (MAGyP),</w:t>
      </w:r>
      <w:r w:rsidRPr="00FE24C0">
        <w:rPr>
          <w:szCs w:val="22"/>
        </w:rPr>
        <w:t xml:space="preserve"> the National Direction of Agriculture </w:t>
      </w:r>
      <w:r w:rsidR="00AD4EDA" w:rsidRPr="00FE24C0">
        <w:rPr>
          <w:szCs w:val="22"/>
        </w:rPr>
        <w:t>(MAGyP),</w:t>
      </w:r>
      <w:r w:rsidRPr="00FE24C0">
        <w:rPr>
          <w:szCs w:val="22"/>
        </w:rPr>
        <w:t xml:space="preserve"> the Direction of Animal Production </w:t>
      </w:r>
      <w:r w:rsidR="00AD4EDA" w:rsidRPr="00FE24C0">
        <w:rPr>
          <w:szCs w:val="22"/>
        </w:rPr>
        <w:t>(MAGyP),</w:t>
      </w:r>
      <w:r w:rsidRPr="00FE24C0">
        <w:rPr>
          <w:szCs w:val="22"/>
        </w:rPr>
        <w:t xml:space="preserve"> Remote Sensing and Regional Analysis Laboratory University of Buenos Aires (LART- FAUBA)</w:t>
      </w:r>
      <w:r w:rsidR="00AD4EDA" w:rsidRPr="00FE24C0">
        <w:rPr>
          <w:szCs w:val="22"/>
        </w:rPr>
        <w:t>,</w:t>
      </w:r>
      <w:r w:rsidRPr="00FE24C0">
        <w:rPr>
          <w:szCs w:val="22"/>
        </w:rPr>
        <w:t xml:space="preserve"> </w:t>
      </w:r>
      <w:r w:rsidR="001A24FC" w:rsidRPr="00FE24C0">
        <w:rPr>
          <w:szCs w:val="22"/>
        </w:rPr>
        <w:t>San Cristobal Sociedad Mutual Seguros Generales,</w:t>
      </w:r>
      <w:r w:rsidR="00081FF2" w:rsidRPr="00FE24C0">
        <w:rPr>
          <w:szCs w:val="22"/>
        </w:rPr>
        <w:t xml:space="preserve"> Mapfre Argentina Seguros S.A., Sancor Cooperative de Seguros Limitada, </w:t>
      </w:r>
      <w:r w:rsidRPr="00FE24C0">
        <w:rPr>
          <w:szCs w:val="22"/>
        </w:rPr>
        <w:t xml:space="preserve">La Segunda Cooperativa </w:t>
      </w:r>
      <w:r w:rsidR="00081FF2" w:rsidRPr="00FE24C0">
        <w:rPr>
          <w:szCs w:val="22"/>
        </w:rPr>
        <w:t xml:space="preserve">Limitada </w:t>
      </w:r>
      <w:r w:rsidRPr="00FE24C0">
        <w:rPr>
          <w:szCs w:val="22"/>
        </w:rPr>
        <w:t>de Seguros Generales</w:t>
      </w:r>
      <w:r w:rsidR="00AD4EDA" w:rsidRPr="00FE24C0">
        <w:rPr>
          <w:szCs w:val="22"/>
        </w:rPr>
        <w:t>,</w:t>
      </w:r>
      <w:r w:rsidRPr="00FE24C0">
        <w:rPr>
          <w:szCs w:val="22"/>
        </w:rPr>
        <w:t xml:space="preserve"> </w:t>
      </w:r>
      <w:r w:rsidR="00AD4EDA" w:rsidRPr="00FE24C0">
        <w:rPr>
          <w:szCs w:val="22"/>
        </w:rPr>
        <w:t>t</w:t>
      </w:r>
      <w:r w:rsidRPr="00FE24C0">
        <w:rPr>
          <w:szCs w:val="22"/>
        </w:rPr>
        <w:t>he National Institute of Farming and Livestock Technology (INTA), Commodity Mercantile Exchange of Bahia Blanca</w:t>
      </w:r>
      <w:r w:rsidR="00AD4EDA" w:rsidRPr="00FE24C0">
        <w:rPr>
          <w:szCs w:val="22"/>
        </w:rPr>
        <w:t>,</w:t>
      </w:r>
      <w:r w:rsidRPr="00FE24C0">
        <w:rPr>
          <w:szCs w:val="22"/>
        </w:rPr>
        <w:t xml:space="preserve"> Confederation of Agricultural Cooperatives</w:t>
      </w:r>
      <w:r w:rsidR="00AD4EDA" w:rsidRPr="00FE24C0">
        <w:rPr>
          <w:szCs w:val="22"/>
        </w:rPr>
        <w:t xml:space="preserve"> (</w:t>
      </w:r>
      <w:r w:rsidRPr="00FE24C0">
        <w:rPr>
          <w:szCs w:val="22"/>
        </w:rPr>
        <w:t>CONINAGRO</w:t>
      </w:r>
      <w:r w:rsidR="00AD4EDA" w:rsidRPr="00FE24C0">
        <w:rPr>
          <w:szCs w:val="22"/>
        </w:rPr>
        <w:t>),</w:t>
      </w:r>
      <w:r w:rsidRPr="00FE24C0">
        <w:rPr>
          <w:szCs w:val="22"/>
        </w:rPr>
        <w:t xml:space="preserve"> Confederation of Rural Associations of Buenos Aires and La Pampa</w:t>
      </w:r>
      <w:r w:rsidR="00AD4EDA" w:rsidRPr="00FE24C0">
        <w:rPr>
          <w:szCs w:val="22"/>
        </w:rPr>
        <w:t xml:space="preserve"> (</w:t>
      </w:r>
      <w:r w:rsidRPr="00FE24C0">
        <w:rPr>
          <w:szCs w:val="22"/>
        </w:rPr>
        <w:t>CARBAP</w:t>
      </w:r>
      <w:r w:rsidR="00AD4EDA" w:rsidRPr="00FE24C0">
        <w:rPr>
          <w:szCs w:val="22"/>
        </w:rPr>
        <w:t>)</w:t>
      </w:r>
      <w:r w:rsidRPr="00FE24C0">
        <w:rPr>
          <w:szCs w:val="22"/>
        </w:rPr>
        <w:t>; and the Sociedad Rural Argentina (SRA).</w:t>
      </w:r>
    </w:p>
    <w:p w:rsidR="00C209D7" w:rsidRDefault="00C209D7" w:rsidP="00C209D7">
      <w:pPr>
        <w:rPr>
          <w:szCs w:val="22"/>
        </w:rPr>
      </w:pPr>
      <w:r w:rsidRPr="00FE24C0">
        <w:rPr>
          <w:szCs w:val="22"/>
        </w:rPr>
        <w:t xml:space="preserve">The team </w:t>
      </w:r>
      <w:r w:rsidR="003436BA">
        <w:rPr>
          <w:szCs w:val="22"/>
        </w:rPr>
        <w:t>i</w:t>
      </w:r>
      <w:r w:rsidRPr="00FE24C0">
        <w:rPr>
          <w:szCs w:val="22"/>
        </w:rPr>
        <w:t>s grateful to the Peer Reviewers</w:t>
      </w:r>
      <w:r w:rsidR="00753CB0">
        <w:rPr>
          <w:szCs w:val="22"/>
        </w:rPr>
        <w:t xml:space="preserve"> including Mr Hector Peña (</w:t>
      </w:r>
      <w:r w:rsidR="00C40F33" w:rsidRPr="00B13BEB">
        <w:rPr>
          <w:szCs w:val="22"/>
        </w:rPr>
        <w:t>Agricultural Sector Economist</w:t>
      </w:r>
      <w:r w:rsidR="00753CB0">
        <w:rPr>
          <w:szCs w:val="22"/>
        </w:rPr>
        <w:t xml:space="preserve"> the World Bank) and Mr William Dick (Agricultural Insurance Consultant)</w:t>
      </w:r>
      <w:r w:rsidRPr="00FE24C0">
        <w:rPr>
          <w:szCs w:val="22"/>
        </w:rPr>
        <w:t xml:space="preserve"> </w:t>
      </w:r>
      <w:r w:rsidR="00753CB0">
        <w:rPr>
          <w:szCs w:val="22"/>
        </w:rPr>
        <w:t xml:space="preserve">for their </w:t>
      </w:r>
      <w:r w:rsidR="003436BA">
        <w:rPr>
          <w:szCs w:val="22"/>
        </w:rPr>
        <w:t>constructive</w:t>
      </w:r>
      <w:r w:rsidR="00753CB0">
        <w:rPr>
          <w:szCs w:val="22"/>
        </w:rPr>
        <w:t xml:space="preserve"> comments and contributions to th</w:t>
      </w:r>
      <w:r w:rsidR="003436BA">
        <w:rPr>
          <w:szCs w:val="22"/>
        </w:rPr>
        <w:t>e</w:t>
      </w:r>
      <w:r w:rsidR="00753CB0">
        <w:rPr>
          <w:szCs w:val="22"/>
        </w:rPr>
        <w:t xml:space="preserve"> final report.</w:t>
      </w:r>
      <w:r w:rsidRPr="00FE24C0">
        <w:rPr>
          <w:szCs w:val="22"/>
        </w:rPr>
        <w:t xml:space="preserve"> </w:t>
      </w:r>
    </w:p>
    <w:p w:rsidR="00753CB0" w:rsidRPr="00FE24C0" w:rsidRDefault="00753CB0" w:rsidP="00C209D7">
      <w:pPr>
        <w:rPr>
          <w:szCs w:val="22"/>
        </w:rPr>
      </w:pPr>
      <w:r>
        <w:rPr>
          <w:szCs w:val="22"/>
        </w:rPr>
        <w:t>In addition</w:t>
      </w:r>
      <w:r w:rsidR="00C40F33">
        <w:rPr>
          <w:szCs w:val="22"/>
        </w:rPr>
        <w:t>,</w:t>
      </w:r>
      <w:r>
        <w:rPr>
          <w:szCs w:val="22"/>
        </w:rPr>
        <w:t xml:space="preserve"> the team wish</w:t>
      </w:r>
      <w:r w:rsidR="003436BA">
        <w:rPr>
          <w:szCs w:val="22"/>
        </w:rPr>
        <w:t>es</w:t>
      </w:r>
      <w:r>
        <w:rPr>
          <w:szCs w:val="22"/>
        </w:rPr>
        <w:t xml:space="preserve"> to </w:t>
      </w:r>
      <w:r w:rsidR="003436BA">
        <w:rPr>
          <w:szCs w:val="22"/>
        </w:rPr>
        <w:t xml:space="preserve">extend a special word of </w:t>
      </w:r>
      <w:r>
        <w:rPr>
          <w:szCs w:val="22"/>
        </w:rPr>
        <w:t>thank</w:t>
      </w:r>
      <w:r w:rsidR="003436BA">
        <w:rPr>
          <w:szCs w:val="22"/>
        </w:rPr>
        <w:t>s</w:t>
      </w:r>
      <w:r>
        <w:rPr>
          <w:szCs w:val="22"/>
        </w:rPr>
        <w:t xml:space="preserve"> </w:t>
      </w:r>
      <w:r w:rsidR="003436BA">
        <w:rPr>
          <w:szCs w:val="22"/>
        </w:rPr>
        <w:t xml:space="preserve">to </w:t>
      </w:r>
      <w:r>
        <w:rPr>
          <w:szCs w:val="22"/>
        </w:rPr>
        <w:t>Mr Ramiro Iturrioz, who was formerly with the World Bank up to February 2012</w:t>
      </w:r>
      <w:r w:rsidR="00044332">
        <w:rPr>
          <w:szCs w:val="22"/>
        </w:rPr>
        <w:t xml:space="preserve"> and who was responsible for </w:t>
      </w:r>
      <w:r w:rsidR="00783340">
        <w:rPr>
          <w:szCs w:val="22"/>
        </w:rPr>
        <w:t xml:space="preserve">establishing </w:t>
      </w:r>
      <w:r w:rsidR="003436BA">
        <w:rPr>
          <w:szCs w:val="22"/>
        </w:rPr>
        <w:t xml:space="preserve">and implementing </w:t>
      </w:r>
      <w:r w:rsidR="00044332">
        <w:rPr>
          <w:szCs w:val="22"/>
        </w:rPr>
        <w:t xml:space="preserve">this livestock </w:t>
      </w:r>
      <w:r w:rsidR="003436BA">
        <w:rPr>
          <w:szCs w:val="22"/>
        </w:rPr>
        <w:t xml:space="preserve">NDVI </w:t>
      </w:r>
      <w:r w:rsidR="00044332">
        <w:rPr>
          <w:szCs w:val="22"/>
        </w:rPr>
        <w:t xml:space="preserve">index insurance </w:t>
      </w:r>
      <w:r w:rsidR="003436BA">
        <w:rPr>
          <w:szCs w:val="22"/>
        </w:rPr>
        <w:t xml:space="preserve">feasibility study </w:t>
      </w:r>
      <w:r w:rsidR="00044332">
        <w:rPr>
          <w:szCs w:val="22"/>
        </w:rPr>
        <w:t>project in Argentina.</w:t>
      </w:r>
      <w:r>
        <w:rPr>
          <w:szCs w:val="22"/>
        </w:rPr>
        <w:t xml:space="preserve"> </w:t>
      </w:r>
    </w:p>
    <w:p w:rsidR="00C209D7" w:rsidRPr="00FE24C0" w:rsidRDefault="00AD4EDA" w:rsidP="00C209D7">
      <w:pPr>
        <w:rPr>
          <w:szCs w:val="22"/>
        </w:rPr>
      </w:pPr>
      <w:r w:rsidRPr="00FE24C0">
        <w:rPr>
          <w:szCs w:val="22"/>
        </w:rPr>
        <w:t>Finally, t</w:t>
      </w:r>
      <w:r w:rsidR="00C209D7" w:rsidRPr="00FE24C0">
        <w:rPr>
          <w:szCs w:val="22"/>
        </w:rPr>
        <w:t>he team gratefully acknowledges funding support from the Global Index Insurance Facility- International Finance Corporation Trust Fund and the Government of Japan.</w:t>
      </w:r>
    </w:p>
    <w:p w:rsidR="00C209D7" w:rsidRPr="00FE24C0" w:rsidRDefault="00C209D7" w:rsidP="00C209D7">
      <w:pPr>
        <w:jc w:val="center"/>
        <w:outlineLvl w:val="0"/>
        <w:rPr>
          <w:b/>
          <w:sz w:val="32"/>
          <w:szCs w:val="32"/>
        </w:rPr>
      </w:pPr>
    </w:p>
    <w:p w:rsidR="00C209D7" w:rsidRPr="00FE24C0" w:rsidRDefault="00C209D7" w:rsidP="00C209D7">
      <w:pPr>
        <w:jc w:val="center"/>
        <w:outlineLvl w:val="0"/>
        <w:rPr>
          <w:b/>
          <w:sz w:val="32"/>
          <w:szCs w:val="32"/>
        </w:rPr>
      </w:pPr>
    </w:p>
    <w:p w:rsidR="00C209D7" w:rsidRPr="00FE24C0" w:rsidRDefault="00C209D7" w:rsidP="00C209D7">
      <w:pPr>
        <w:jc w:val="center"/>
        <w:outlineLvl w:val="0"/>
        <w:rPr>
          <w:b/>
          <w:sz w:val="32"/>
          <w:szCs w:val="32"/>
        </w:rPr>
      </w:pPr>
    </w:p>
    <w:p w:rsidR="00C209D7" w:rsidRPr="00FE24C0" w:rsidRDefault="00C209D7" w:rsidP="00C209D7">
      <w:pPr>
        <w:jc w:val="center"/>
        <w:outlineLvl w:val="0"/>
        <w:rPr>
          <w:b/>
          <w:sz w:val="32"/>
          <w:szCs w:val="32"/>
        </w:rPr>
      </w:pPr>
    </w:p>
    <w:p w:rsidR="00C209D7" w:rsidRPr="00FE24C0" w:rsidRDefault="00C209D7" w:rsidP="00C209D7">
      <w:pPr>
        <w:jc w:val="center"/>
        <w:outlineLvl w:val="0"/>
        <w:rPr>
          <w:b/>
          <w:sz w:val="32"/>
          <w:szCs w:val="32"/>
        </w:rPr>
      </w:pPr>
    </w:p>
    <w:p w:rsidR="00C209D7" w:rsidRPr="00FE24C0" w:rsidRDefault="00C209D7" w:rsidP="00C209D7">
      <w:pPr>
        <w:jc w:val="center"/>
        <w:outlineLvl w:val="0"/>
        <w:rPr>
          <w:b/>
          <w:sz w:val="32"/>
          <w:szCs w:val="32"/>
        </w:rPr>
      </w:pPr>
    </w:p>
    <w:p w:rsidR="00C209D7" w:rsidRPr="00FE24C0" w:rsidRDefault="00C209D7" w:rsidP="00C209D7">
      <w:pPr>
        <w:jc w:val="center"/>
        <w:outlineLvl w:val="0"/>
        <w:rPr>
          <w:b/>
          <w:sz w:val="32"/>
          <w:szCs w:val="32"/>
        </w:rPr>
      </w:pPr>
    </w:p>
    <w:p w:rsidR="00C209D7" w:rsidRPr="00FE24C0" w:rsidRDefault="00C209D7" w:rsidP="00C64A37">
      <w:pPr>
        <w:pStyle w:val="Ttulo1"/>
        <w:numPr>
          <w:ilvl w:val="0"/>
          <w:numId w:val="0"/>
        </w:numPr>
        <w:jc w:val="center"/>
        <w:rPr>
          <w:rFonts w:cs="Times New Roman"/>
        </w:rPr>
      </w:pPr>
      <w:bookmarkStart w:id="1" w:name="_Toc345794244"/>
      <w:r w:rsidRPr="00FE24C0">
        <w:rPr>
          <w:rFonts w:cs="Times New Roman"/>
        </w:rPr>
        <w:lastRenderedPageBreak/>
        <w:t>MEASURES</w:t>
      </w:r>
      <w:bookmarkEnd w:id="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588"/>
      </w:tblGrid>
      <w:tr w:rsidR="00C209D7" w:rsidRPr="00FE24C0" w:rsidTr="00C209D7">
        <w:tc>
          <w:tcPr>
            <w:tcW w:w="2268" w:type="dxa"/>
          </w:tcPr>
          <w:p w:rsidR="00C209D7" w:rsidRDefault="00C209D7" w:rsidP="006E0CFF">
            <w:pPr>
              <w:jc w:val="left"/>
              <w:outlineLvl w:val="0"/>
              <w:rPr>
                <w:b/>
                <w:szCs w:val="32"/>
              </w:rPr>
            </w:pPr>
            <w:r w:rsidRPr="00FE24C0">
              <w:rPr>
                <w:b/>
                <w:szCs w:val="32"/>
              </w:rPr>
              <w:t>1 hectare (Ha)</w:t>
            </w:r>
          </w:p>
          <w:p w:rsidR="006E0CFF" w:rsidRPr="00FE24C0" w:rsidRDefault="006E0CFF" w:rsidP="006E0CFF">
            <w:pPr>
              <w:jc w:val="left"/>
              <w:outlineLvl w:val="0"/>
              <w:rPr>
                <w:b/>
                <w:szCs w:val="32"/>
              </w:rPr>
            </w:pPr>
            <w:r>
              <w:rPr>
                <w:b/>
                <w:szCs w:val="32"/>
              </w:rPr>
              <w:t>Exchange Rate</w:t>
            </w:r>
          </w:p>
        </w:tc>
        <w:tc>
          <w:tcPr>
            <w:tcW w:w="6588" w:type="dxa"/>
          </w:tcPr>
          <w:p w:rsidR="0052646B" w:rsidRDefault="00C209D7" w:rsidP="0052646B">
            <w:pPr>
              <w:jc w:val="left"/>
              <w:outlineLvl w:val="0"/>
              <w:rPr>
                <w:b/>
                <w:szCs w:val="32"/>
                <w:vertAlign w:val="superscript"/>
              </w:rPr>
            </w:pPr>
            <w:r w:rsidRPr="00FE24C0">
              <w:rPr>
                <w:b/>
                <w:szCs w:val="32"/>
              </w:rPr>
              <w:t>= 10,000 m</w:t>
            </w:r>
            <w:r w:rsidRPr="00FE24C0">
              <w:rPr>
                <w:b/>
                <w:szCs w:val="32"/>
                <w:vertAlign w:val="superscript"/>
              </w:rPr>
              <w:t>2</w:t>
            </w:r>
            <w:r w:rsidR="0052646B" w:rsidRPr="00FE24C0">
              <w:rPr>
                <w:b/>
                <w:szCs w:val="32"/>
                <w:vertAlign w:val="superscript"/>
              </w:rPr>
              <w:t xml:space="preserve">  </w:t>
            </w:r>
          </w:p>
          <w:p w:rsidR="006E0CFF" w:rsidRPr="00FE24C0" w:rsidRDefault="006E0CFF" w:rsidP="006E0CFF">
            <w:pPr>
              <w:jc w:val="left"/>
              <w:outlineLvl w:val="0"/>
              <w:rPr>
                <w:b/>
                <w:szCs w:val="32"/>
                <w:vertAlign w:val="superscript"/>
              </w:rPr>
            </w:pPr>
            <w:r>
              <w:rPr>
                <w:lang w:val="en-GB"/>
              </w:rPr>
              <w:t xml:space="preserve">Average 2012 exchange rate of AR$ 4.5 = US$ 1.00 </w:t>
            </w:r>
          </w:p>
        </w:tc>
      </w:tr>
      <w:tr w:rsidR="0052646B" w:rsidRPr="00FE24C0" w:rsidTr="00C209D7">
        <w:tc>
          <w:tcPr>
            <w:tcW w:w="2268" w:type="dxa"/>
          </w:tcPr>
          <w:p w:rsidR="0052646B" w:rsidRPr="00FE24C0" w:rsidRDefault="0052646B" w:rsidP="00C209D7">
            <w:pPr>
              <w:jc w:val="left"/>
              <w:outlineLvl w:val="0"/>
              <w:rPr>
                <w:b/>
                <w:szCs w:val="32"/>
              </w:rPr>
            </w:pPr>
          </w:p>
        </w:tc>
        <w:tc>
          <w:tcPr>
            <w:tcW w:w="6588" w:type="dxa"/>
          </w:tcPr>
          <w:p w:rsidR="0052646B" w:rsidRPr="00FE24C0" w:rsidRDefault="0052646B" w:rsidP="0052646B">
            <w:pPr>
              <w:jc w:val="left"/>
              <w:outlineLvl w:val="0"/>
              <w:rPr>
                <w:b/>
                <w:szCs w:val="32"/>
              </w:rPr>
            </w:pPr>
          </w:p>
        </w:tc>
      </w:tr>
    </w:tbl>
    <w:p w:rsidR="00C209D7" w:rsidRPr="00FE24C0" w:rsidRDefault="00C209D7" w:rsidP="00C209D7">
      <w:pPr>
        <w:jc w:val="center"/>
        <w:outlineLvl w:val="0"/>
        <w:rPr>
          <w:b/>
          <w:sz w:val="32"/>
          <w:szCs w:val="32"/>
        </w:rPr>
      </w:pPr>
    </w:p>
    <w:p w:rsidR="00A256C8" w:rsidRPr="00DE7C24" w:rsidRDefault="00A256C8" w:rsidP="00DE7C24">
      <w:pPr>
        <w:pStyle w:val="Ttulo1"/>
        <w:numPr>
          <w:ilvl w:val="0"/>
          <w:numId w:val="0"/>
        </w:numPr>
        <w:jc w:val="center"/>
        <w:rPr>
          <w:rFonts w:cs="Times New Roman"/>
        </w:rPr>
      </w:pPr>
      <w:bookmarkStart w:id="2" w:name="_Toc345794245"/>
      <w:r w:rsidRPr="00FE24C0">
        <w:rPr>
          <w:rFonts w:cs="Times New Roman"/>
        </w:rPr>
        <w:t>ABBREVIATIONS AND ACRONYMS</w:t>
      </w:r>
      <w:bookmarkEnd w:id="2"/>
    </w:p>
    <w:p w:rsidR="00F575C2" w:rsidRPr="00FE24C0" w:rsidRDefault="00F575C2" w:rsidP="00F575C2">
      <w:pPr>
        <w:spacing w:after="120"/>
        <w:ind w:left="2127" w:hanging="1985"/>
        <w:rPr>
          <w:szCs w:val="22"/>
        </w:rPr>
      </w:pPr>
      <w:r w:rsidRPr="00FE24C0">
        <w:rPr>
          <w:b/>
          <w:szCs w:val="22"/>
        </w:rPr>
        <w:t>AFSC</w:t>
      </w:r>
      <w:r w:rsidRPr="00FE24C0">
        <w:rPr>
          <w:b/>
          <w:szCs w:val="22"/>
        </w:rPr>
        <w:tab/>
      </w:r>
      <w:r w:rsidRPr="00FE24C0">
        <w:rPr>
          <w:szCs w:val="22"/>
        </w:rPr>
        <w:t>Agriculture Financial Services Corporation of Alberta, Canada</w:t>
      </w:r>
    </w:p>
    <w:p w:rsidR="00F575C2" w:rsidRPr="00FE24C0" w:rsidRDefault="00F575C2" w:rsidP="00F575C2">
      <w:pPr>
        <w:spacing w:after="120"/>
        <w:ind w:left="2127" w:hanging="1985"/>
        <w:rPr>
          <w:szCs w:val="22"/>
          <w:lang w:val="es-NI"/>
        </w:rPr>
      </w:pPr>
      <w:r w:rsidRPr="00FE24C0">
        <w:rPr>
          <w:b/>
          <w:szCs w:val="22"/>
          <w:lang w:val="es-NI"/>
        </w:rPr>
        <w:t>AGROSEGURO</w:t>
      </w:r>
      <w:r w:rsidRPr="00FE24C0">
        <w:rPr>
          <w:b/>
          <w:szCs w:val="22"/>
          <w:lang w:val="es-NI"/>
        </w:rPr>
        <w:tab/>
      </w:r>
      <w:r w:rsidRPr="00FE24C0">
        <w:rPr>
          <w:szCs w:val="22"/>
          <w:lang w:val="es-NI"/>
        </w:rPr>
        <w:t xml:space="preserve">Spanish Group of Insurers of the Combined Agrarian Insurance program </w:t>
      </w:r>
      <w:r w:rsidRPr="00FE24C0">
        <w:rPr>
          <w:b/>
          <w:szCs w:val="22"/>
          <w:lang w:val="es-NI"/>
        </w:rPr>
        <w:t>(</w:t>
      </w:r>
      <w:r w:rsidRPr="00FE24C0">
        <w:rPr>
          <w:i/>
          <w:szCs w:val="22"/>
          <w:lang w:val="es-NI"/>
        </w:rPr>
        <w:t>Agrupación Española de Entidades Aseguradores de los Seguros Agrarios Combinados, S.A</w:t>
      </w:r>
      <w:r w:rsidRPr="00FE24C0">
        <w:rPr>
          <w:szCs w:val="22"/>
          <w:lang w:val="es-NI"/>
        </w:rPr>
        <w:t>.)</w:t>
      </w:r>
    </w:p>
    <w:p w:rsidR="00D77528" w:rsidRPr="00FE24C0" w:rsidRDefault="00D77528" w:rsidP="00F575C2">
      <w:pPr>
        <w:spacing w:after="120"/>
        <w:ind w:left="2127" w:hanging="1985"/>
        <w:rPr>
          <w:szCs w:val="22"/>
        </w:rPr>
      </w:pPr>
      <w:r w:rsidRPr="00FE24C0">
        <w:rPr>
          <w:b/>
          <w:szCs w:val="22"/>
        </w:rPr>
        <w:t>BAF</w:t>
      </w:r>
      <w:r w:rsidRPr="00FE24C0">
        <w:rPr>
          <w:b/>
          <w:szCs w:val="22"/>
        </w:rPr>
        <w:tab/>
      </w:r>
      <w:r w:rsidR="009D2568" w:rsidRPr="00FE24C0">
        <w:rPr>
          <w:szCs w:val="22"/>
        </w:rPr>
        <w:t>Basic Agricultural Cr</w:t>
      </w:r>
      <w:r w:rsidRPr="00FE24C0">
        <w:rPr>
          <w:szCs w:val="22"/>
        </w:rPr>
        <w:t>op Livestock and Forestry Insurance</w:t>
      </w:r>
      <w:r w:rsidRPr="00FE24C0">
        <w:rPr>
          <w:b/>
          <w:szCs w:val="22"/>
        </w:rPr>
        <w:t xml:space="preserve"> </w:t>
      </w:r>
      <w:r w:rsidRPr="00FE24C0">
        <w:rPr>
          <w:szCs w:val="22"/>
        </w:rPr>
        <w:t>(</w:t>
      </w:r>
      <w:r w:rsidRPr="00FE24C0">
        <w:rPr>
          <w:i/>
          <w:szCs w:val="22"/>
        </w:rPr>
        <w:t>Seguro Básico Agropecuario y Forestal</w:t>
      </w:r>
      <w:r w:rsidRPr="00FE24C0">
        <w:rPr>
          <w:szCs w:val="22"/>
        </w:rPr>
        <w:t>)</w:t>
      </w:r>
    </w:p>
    <w:p w:rsidR="00AF5FCA" w:rsidRDefault="008C6039" w:rsidP="00F575C2">
      <w:pPr>
        <w:spacing w:after="120"/>
        <w:ind w:left="2127" w:hanging="1985"/>
        <w:rPr>
          <w:b/>
          <w:szCs w:val="22"/>
        </w:rPr>
      </w:pPr>
      <w:r>
        <w:rPr>
          <w:b/>
          <w:szCs w:val="22"/>
        </w:rPr>
        <w:t>FMD</w:t>
      </w:r>
      <w:r>
        <w:rPr>
          <w:b/>
          <w:szCs w:val="22"/>
        </w:rPr>
        <w:tab/>
      </w:r>
      <w:r w:rsidR="001D6076" w:rsidRPr="001D6076">
        <w:rPr>
          <w:szCs w:val="22"/>
        </w:rPr>
        <w:t>Foot and Mouth Disease</w:t>
      </w:r>
    </w:p>
    <w:p w:rsidR="00AD4EDA" w:rsidRPr="00FE24C0" w:rsidRDefault="00AD4EDA" w:rsidP="00F575C2">
      <w:pPr>
        <w:spacing w:after="120"/>
        <w:ind w:left="2127" w:hanging="1985"/>
        <w:rPr>
          <w:b/>
          <w:szCs w:val="22"/>
        </w:rPr>
      </w:pPr>
      <w:r w:rsidRPr="00FE24C0">
        <w:rPr>
          <w:b/>
          <w:szCs w:val="22"/>
        </w:rPr>
        <w:t>GDP</w:t>
      </w:r>
      <w:r w:rsidRPr="00FE24C0">
        <w:rPr>
          <w:b/>
          <w:szCs w:val="22"/>
        </w:rPr>
        <w:tab/>
      </w:r>
      <w:r w:rsidR="001A24FC" w:rsidRPr="00FE24C0">
        <w:rPr>
          <w:szCs w:val="22"/>
        </w:rPr>
        <w:t>Gross Domestic Product</w:t>
      </w:r>
    </w:p>
    <w:p w:rsidR="004A44A7" w:rsidRPr="00FE24C0" w:rsidRDefault="004A44A7" w:rsidP="00F575C2">
      <w:pPr>
        <w:spacing w:after="120"/>
        <w:ind w:left="2127" w:hanging="1985"/>
        <w:rPr>
          <w:szCs w:val="22"/>
        </w:rPr>
      </w:pPr>
      <w:r w:rsidRPr="00FE24C0">
        <w:rPr>
          <w:b/>
          <w:szCs w:val="22"/>
        </w:rPr>
        <w:t>GGP</w:t>
      </w:r>
      <w:r w:rsidRPr="00FE24C0">
        <w:rPr>
          <w:b/>
          <w:szCs w:val="22"/>
        </w:rPr>
        <w:tab/>
      </w:r>
      <w:r w:rsidRPr="00FE24C0">
        <w:rPr>
          <w:szCs w:val="22"/>
        </w:rPr>
        <w:t>Gross Geographic Product</w:t>
      </w:r>
    </w:p>
    <w:p w:rsidR="005A1EC8" w:rsidRPr="00FE24C0" w:rsidRDefault="005A1EC8" w:rsidP="00F575C2">
      <w:pPr>
        <w:spacing w:after="120"/>
        <w:ind w:left="2127" w:hanging="1985"/>
        <w:rPr>
          <w:b/>
          <w:szCs w:val="22"/>
        </w:rPr>
      </w:pPr>
      <w:r w:rsidRPr="00FE24C0">
        <w:rPr>
          <w:b/>
          <w:szCs w:val="22"/>
        </w:rPr>
        <w:t>GNPI</w:t>
      </w:r>
      <w:r w:rsidRPr="00FE24C0">
        <w:rPr>
          <w:b/>
          <w:szCs w:val="22"/>
        </w:rPr>
        <w:tab/>
      </w:r>
      <w:r w:rsidR="001A24FC" w:rsidRPr="00FE24C0">
        <w:rPr>
          <w:szCs w:val="22"/>
        </w:rPr>
        <w:t>Gross Net Premium Income</w:t>
      </w:r>
    </w:p>
    <w:p w:rsidR="00B260B0" w:rsidRDefault="00D77528" w:rsidP="00F575C2">
      <w:pPr>
        <w:spacing w:after="120"/>
        <w:ind w:left="2127" w:hanging="1985"/>
        <w:rPr>
          <w:szCs w:val="22"/>
        </w:rPr>
      </w:pPr>
      <w:r w:rsidRPr="00FE24C0">
        <w:rPr>
          <w:b/>
          <w:szCs w:val="22"/>
        </w:rPr>
        <w:t>Go</w:t>
      </w:r>
      <w:r w:rsidR="00B260B0" w:rsidRPr="00FE24C0">
        <w:rPr>
          <w:b/>
          <w:szCs w:val="22"/>
        </w:rPr>
        <w:t>A</w:t>
      </w:r>
      <w:r w:rsidR="00B260B0" w:rsidRPr="00FE24C0">
        <w:rPr>
          <w:b/>
          <w:szCs w:val="22"/>
        </w:rPr>
        <w:tab/>
      </w:r>
      <w:r w:rsidR="00B260B0" w:rsidRPr="00FE24C0">
        <w:rPr>
          <w:szCs w:val="22"/>
        </w:rPr>
        <w:t>Government of Argentina</w:t>
      </w:r>
    </w:p>
    <w:p w:rsidR="00783340" w:rsidRPr="00CA65D9" w:rsidRDefault="00783340" w:rsidP="00F575C2">
      <w:pPr>
        <w:spacing w:after="120"/>
        <w:ind w:left="2127" w:hanging="1985"/>
        <w:rPr>
          <w:szCs w:val="22"/>
        </w:rPr>
      </w:pPr>
      <w:r>
        <w:rPr>
          <w:b/>
          <w:szCs w:val="22"/>
        </w:rPr>
        <w:t>IDB</w:t>
      </w:r>
      <w:r>
        <w:rPr>
          <w:b/>
          <w:szCs w:val="22"/>
        </w:rPr>
        <w:tab/>
      </w:r>
      <w:r w:rsidR="001D6076" w:rsidRPr="001D6076">
        <w:rPr>
          <w:szCs w:val="22"/>
        </w:rPr>
        <w:t>Inter-American Development Bank</w:t>
      </w:r>
    </w:p>
    <w:p w:rsidR="00F56B03" w:rsidRPr="008876E4" w:rsidRDefault="001D6076" w:rsidP="00F575C2">
      <w:pPr>
        <w:spacing w:after="120"/>
        <w:ind w:left="2127" w:hanging="1985"/>
        <w:rPr>
          <w:szCs w:val="22"/>
          <w:lang w:val="en-GB"/>
        </w:rPr>
      </w:pPr>
      <w:r w:rsidRPr="001D6076">
        <w:rPr>
          <w:b/>
          <w:szCs w:val="22"/>
          <w:lang w:val="en-GB"/>
        </w:rPr>
        <w:t>INTA</w:t>
      </w:r>
      <w:r w:rsidRPr="001D6076">
        <w:rPr>
          <w:szCs w:val="22"/>
          <w:lang w:val="en-GB"/>
        </w:rPr>
        <w:tab/>
        <w:t>National Institute of Agricultural Technology (</w:t>
      </w:r>
      <w:r w:rsidRPr="001D6076">
        <w:rPr>
          <w:i/>
          <w:szCs w:val="22"/>
          <w:lang w:val="en-GB"/>
        </w:rPr>
        <w:t>Instituto Nacional de Tecnología Agropecuaria</w:t>
      </w:r>
      <w:r w:rsidRPr="001D6076">
        <w:rPr>
          <w:szCs w:val="22"/>
          <w:lang w:val="en-GB"/>
        </w:rPr>
        <w:t>)</w:t>
      </w:r>
    </w:p>
    <w:p w:rsidR="00B26549" w:rsidRPr="00FE24C0" w:rsidRDefault="00B26549" w:rsidP="00F575C2">
      <w:pPr>
        <w:spacing w:after="120"/>
        <w:ind w:left="2127" w:hanging="1985"/>
        <w:rPr>
          <w:b/>
          <w:szCs w:val="22"/>
        </w:rPr>
      </w:pPr>
      <w:r w:rsidRPr="00FE24C0">
        <w:rPr>
          <w:b/>
          <w:szCs w:val="22"/>
        </w:rPr>
        <w:t>LART-FAUBA</w:t>
      </w:r>
      <w:r w:rsidRPr="00FE24C0">
        <w:rPr>
          <w:szCs w:val="22"/>
        </w:rPr>
        <w:tab/>
        <w:t>Remote Sensing and Regional Analysis Laboratory – Faculty of Agr</w:t>
      </w:r>
      <w:r w:rsidR="001E4E6D" w:rsidRPr="00FE24C0">
        <w:rPr>
          <w:szCs w:val="22"/>
        </w:rPr>
        <w:t>onomy</w:t>
      </w:r>
      <w:r w:rsidRPr="00FE24C0">
        <w:rPr>
          <w:szCs w:val="22"/>
        </w:rPr>
        <w:t>, University of Buenos Aires</w:t>
      </w:r>
    </w:p>
    <w:p w:rsidR="00402785" w:rsidRPr="00FE24C0" w:rsidRDefault="00402785" w:rsidP="00F575C2">
      <w:pPr>
        <w:spacing w:after="120"/>
        <w:ind w:left="2127" w:hanging="1985"/>
        <w:rPr>
          <w:b/>
          <w:szCs w:val="22"/>
        </w:rPr>
      </w:pPr>
      <w:r w:rsidRPr="00FE24C0">
        <w:rPr>
          <w:b/>
          <w:szCs w:val="22"/>
        </w:rPr>
        <w:t>NOAA</w:t>
      </w:r>
      <w:r w:rsidRPr="00FE24C0">
        <w:rPr>
          <w:b/>
          <w:szCs w:val="22"/>
        </w:rPr>
        <w:tab/>
      </w:r>
      <w:r w:rsidRPr="00FE24C0">
        <w:rPr>
          <w:szCs w:val="22"/>
        </w:rPr>
        <w:t>National Oceanic and Atmospheric Administration</w:t>
      </w:r>
    </w:p>
    <w:p w:rsidR="00033EFF" w:rsidRPr="00FE24C0" w:rsidRDefault="00AD4EDA" w:rsidP="00F575C2">
      <w:pPr>
        <w:spacing w:after="120"/>
        <w:ind w:left="2127" w:hanging="1985"/>
        <w:rPr>
          <w:szCs w:val="22"/>
        </w:rPr>
      </w:pPr>
      <w:r w:rsidRPr="00FE24C0">
        <w:rPr>
          <w:b/>
          <w:szCs w:val="22"/>
        </w:rPr>
        <w:t>MAGyP</w:t>
      </w:r>
      <w:r w:rsidR="00033EFF" w:rsidRPr="00FE24C0">
        <w:rPr>
          <w:b/>
          <w:szCs w:val="22"/>
        </w:rPr>
        <w:tab/>
      </w:r>
      <w:r w:rsidR="00033EFF" w:rsidRPr="00FE24C0">
        <w:rPr>
          <w:szCs w:val="22"/>
        </w:rPr>
        <w:t xml:space="preserve">Ministry of </w:t>
      </w:r>
      <w:r w:rsidR="00234913" w:rsidRPr="00FE24C0">
        <w:rPr>
          <w:szCs w:val="22"/>
        </w:rPr>
        <w:t>Agriculture, Livestock and Fisheries</w:t>
      </w:r>
    </w:p>
    <w:p w:rsidR="00B260B0" w:rsidRPr="00FE24C0" w:rsidRDefault="00B260B0" w:rsidP="00F575C2">
      <w:pPr>
        <w:spacing w:after="120"/>
        <w:ind w:left="2127" w:hanging="1985"/>
        <w:rPr>
          <w:szCs w:val="22"/>
        </w:rPr>
      </w:pPr>
      <w:r w:rsidRPr="00FE24C0">
        <w:rPr>
          <w:b/>
          <w:szCs w:val="22"/>
        </w:rPr>
        <w:t>MPCI</w:t>
      </w:r>
      <w:r w:rsidRPr="00FE24C0">
        <w:rPr>
          <w:b/>
          <w:szCs w:val="22"/>
        </w:rPr>
        <w:tab/>
      </w:r>
      <w:r w:rsidRPr="00FE24C0">
        <w:rPr>
          <w:szCs w:val="22"/>
        </w:rPr>
        <w:t>Multiple Peril Crop Insurance</w:t>
      </w:r>
    </w:p>
    <w:p w:rsidR="00402785" w:rsidRPr="00FE24C0" w:rsidRDefault="00402785" w:rsidP="00F575C2">
      <w:pPr>
        <w:spacing w:after="120"/>
        <w:ind w:left="2127" w:hanging="1985"/>
        <w:rPr>
          <w:color w:val="222222"/>
          <w:szCs w:val="22"/>
          <w:shd w:val="clear" w:color="auto" w:fill="FFFFFF"/>
        </w:rPr>
      </w:pPr>
      <w:r w:rsidRPr="00FE24C0">
        <w:rPr>
          <w:b/>
          <w:szCs w:val="22"/>
        </w:rPr>
        <w:t>MODIS</w:t>
      </w:r>
      <w:r w:rsidRPr="00FE24C0">
        <w:rPr>
          <w:b/>
          <w:szCs w:val="22"/>
        </w:rPr>
        <w:tab/>
      </w:r>
      <w:r w:rsidRPr="00FE24C0">
        <w:rPr>
          <w:color w:val="222222"/>
          <w:szCs w:val="22"/>
          <w:shd w:val="clear" w:color="auto" w:fill="FFFFFF"/>
        </w:rPr>
        <w:t>Moderate Resolution Imaging Spectroradiometer</w:t>
      </w:r>
    </w:p>
    <w:p w:rsidR="00033EFF" w:rsidRPr="00FE24C0" w:rsidRDefault="00033EFF" w:rsidP="00F575C2">
      <w:pPr>
        <w:spacing w:after="120"/>
        <w:ind w:left="2127" w:hanging="1985"/>
        <w:rPr>
          <w:szCs w:val="22"/>
        </w:rPr>
      </w:pPr>
      <w:r w:rsidRPr="00FE24C0">
        <w:rPr>
          <w:b/>
          <w:szCs w:val="22"/>
        </w:rPr>
        <w:t>NDVI</w:t>
      </w:r>
      <w:r w:rsidRPr="00FE24C0">
        <w:rPr>
          <w:b/>
          <w:szCs w:val="22"/>
        </w:rPr>
        <w:tab/>
      </w:r>
      <w:r w:rsidRPr="00FE24C0">
        <w:rPr>
          <w:szCs w:val="22"/>
        </w:rPr>
        <w:t>Normalized Difference Vegetation Index (also referred to as Normalized Differential Vegetative Index)</w:t>
      </w:r>
    </w:p>
    <w:p w:rsidR="007F1F86" w:rsidRPr="00FE24C0" w:rsidRDefault="007F1F86" w:rsidP="00F575C2">
      <w:pPr>
        <w:spacing w:after="120"/>
        <w:ind w:left="2127" w:hanging="1985"/>
        <w:rPr>
          <w:szCs w:val="22"/>
        </w:rPr>
      </w:pPr>
      <w:r w:rsidRPr="00FE24C0">
        <w:rPr>
          <w:b/>
          <w:szCs w:val="22"/>
        </w:rPr>
        <w:t>OPDS</w:t>
      </w:r>
      <w:r w:rsidRPr="00FE24C0">
        <w:rPr>
          <w:b/>
          <w:szCs w:val="22"/>
        </w:rPr>
        <w:tab/>
      </w:r>
      <w:r w:rsidRPr="00FE24C0">
        <w:rPr>
          <w:szCs w:val="22"/>
        </w:rPr>
        <w:t>Provincial Sustainable Development Agency for Buenos Aires Province</w:t>
      </w:r>
    </w:p>
    <w:p w:rsidR="00B260B0" w:rsidRPr="00FE24C0" w:rsidRDefault="00B260B0" w:rsidP="00F575C2">
      <w:pPr>
        <w:spacing w:after="120"/>
        <w:ind w:left="2127" w:hanging="1985"/>
        <w:rPr>
          <w:szCs w:val="22"/>
          <w:lang w:val="es-NI"/>
        </w:rPr>
      </w:pPr>
      <w:r w:rsidRPr="00FE24C0">
        <w:rPr>
          <w:b/>
          <w:szCs w:val="22"/>
          <w:lang w:val="es-NI"/>
        </w:rPr>
        <w:t>ORA</w:t>
      </w:r>
      <w:r w:rsidRPr="00FE24C0">
        <w:rPr>
          <w:b/>
          <w:szCs w:val="22"/>
          <w:lang w:val="es-NI"/>
        </w:rPr>
        <w:tab/>
      </w:r>
      <w:r w:rsidRPr="00FE24C0">
        <w:rPr>
          <w:szCs w:val="22"/>
          <w:lang w:val="es-NI"/>
        </w:rPr>
        <w:t>Agricultur</w:t>
      </w:r>
      <w:r w:rsidR="00A109A4" w:rsidRPr="00FE24C0">
        <w:rPr>
          <w:szCs w:val="22"/>
          <w:lang w:val="es-NI"/>
        </w:rPr>
        <w:t>al</w:t>
      </w:r>
      <w:r w:rsidRPr="00FE24C0">
        <w:rPr>
          <w:szCs w:val="22"/>
          <w:lang w:val="es-NI"/>
        </w:rPr>
        <w:t xml:space="preserve"> Risk Office (</w:t>
      </w:r>
      <w:r w:rsidRPr="00FE24C0">
        <w:rPr>
          <w:i/>
          <w:szCs w:val="22"/>
          <w:lang w:val="es-NI"/>
        </w:rPr>
        <w:t>Oficina de Riesgo Agr</w:t>
      </w:r>
      <w:r w:rsidR="00B26549" w:rsidRPr="00FE24C0">
        <w:rPr>
          <w:i/>
          <w:szCs w:val="22"/>
          <w:lang w:val="es-NI"/>
        </w:rPr>
        <w:t>opecuario</w:t>
      </w:r>
      <w:r w:rsidRPr="00FE24C0">
        <w:rPr>
          <w:szCs w:val="22"/>
          <w:lang w:val="es-NI"/>
        </w:rPr>
        <w:t>)</w:t>
      </w:r>
    </w:p>
    <w:p w:rsidR="00B260B0" w:rsidRPr="00FE24C0" w:rsidRDefault="00B260B0" w:rsidP="00F575C2">
      <w:pPr>
        <w:spacing w:after="120"/>
        <w:ind w:left="2127" w:hanging="1985"/>
        <w:rPr>
          <w:szCs w:val="22"/>
        </w:rPr>
      </w:pPr>
      <w:r w:rsidRPr="00FE24C0">
        <w:rPr>
          <w:b/>
          <w:szCs w:val="22"/>
        </w:rPr>
        <w:t>PML</w:t>
      </w:r>
      <w:r w:rsidRPr="00FE24C0">
        <w:rPr>
          <w:b/>
          <w:szCs w:val="22"/>
        </w:rPr>
        <w:tab/>
      </w:r>
      <w:r w:rsidRPr="00FE24C0">
        <w:rPr>
          <w:szCs w:val="22"/>
        </w:rPr>
        <w:t>Probable Maximum Loss</w:t>
      </w:r>
    </w:p>
    <w:p w:rsidR="00991832" w:rsidRPr="00FE24C0" w:rsidRDefault="00991832" w:rsidP="00F575C2">
      <w:pPr>
        <w:spacing w:after="120"/>
        <w:ind w:left="2127" w:hanging="1985"/>
        <w:rPr>
          <w:szCs w:val="22"/>
        </w:rPr>
      </w:pPr>
      <w:r w:rsidRPr="00FE24C0">
        <w:rPr>
          <w:b/>
          <w:szCs w:val="22"/>
        </w:rPr>
        <w:t>PROSAP</w:t>
      </w:r>
      <w:r w:rsidRPr="00FE24C0">
        <w:rPr>
          <w:b/>
          <w:szCs w:val="22"/>
        </w:rPr>
        <w:tab/>
      </w:r>
      <w:r w:rsidR="001D6076" w:rsidRPr="001D6076">
        <w:rPr>
          <w:szCs w:val="22"/>
        </w:rPr>
        <w:t>Program of Provincial Agricultural Services (</w:t>
      </w:r>
      <w:r w:rsidR="001D6076" w:rsidRPr="001D6076">
        <w:rPr>
          <w:i/>
          <w:szCs w:val="22"/>
        </w:rPr>
        <w:t>Programa de Servicios Agr</w:t>
      </w:r>
      <w:r w:rsidR="00280DC6">
        <w:rPr>
          <w:i/>
          <w:szCs w:val="22"/>
        </w:rPr>
        <w:t>í</w:t>
      </w:r>
      <w:r w:rsidR="00136D57" w:rsidRPr="00136D57">
        <w:rPr>
          <w:i/>
          <w:szCs w:val="22"/>
        </w:rPr>
        <w:t>colas Provinciales</w:t>
      </w:r>
      <w:r w:rsidR="00136D57" w:rsidRPr="00136D57">
        <w:rPr>
          <w:szCs w:val="22"/>
        </w:rPr>
        <w:t>)</w:t>
      </w:r>
    </w:p>
    <w:p w:rsidR="007F1F86" w:rsidRPr="00FE24C0" w:rsidRDefault="007F1F86" w:rsidP="00F575C2">
      <w:pPr>
        <w:spacing w:after="120"/>
        <w:ind w:left="2127" w:hanging="1985"/>
        <w:rPr>
          <w:szCs w:val="22"/>
        </w:rPr>
      </w:pPr>
      <w:r w:rsidRPr="00FE24C0">
        <w:rPr>
          <w:b/>
          <w:szCs w:val="22"/>
        </w:rPr>
        <w:lastRenderedPageBreak/>
        <w:t>SAyDS</w:t>
      </w:r>
      <w:r w:rsidRPr="00FE24C0">
        <w:rPr>
          <w:szCs w:val="22"/>
        </w:rPr>
        <w:tab/>
        <w:t>National Secretariat of Envir</w:t>
      </w:r>
      <w:r w:rsidR="00AC0FA5" w:rsidRPr="00FE24C0">
        <w:rPr>
          <w:szCs w:val="22"/>
        </w:rPr>
        <w:t>o</w:t>
      </w:r>
      <w:r w:rsidRPr="00FE24C0">
        <w:rPr>
          <w:szCs w:val="22"/>
        </w:rPr>
        <w:t>nment and Susta</w:t>
      </w:r>
      <w:r w:rsidR="009D2568" w:rsidRPr="00FE24C0">
        <w:rPr>
          <w:szCs w:val="22"/>
        </w:rPr>
        <w:t>i</w:t>
      </w:r>
      <w:r w:rsidRPr="00FE24C0">
        <w:rPr>
          <w:szCs w:val="22"/>
        </w:rPr>
        <w:t>nable Development</w:t>
      </w:r>
    </w:p>
    <w:p w:rsidR="00791607" w:rsidRPr="00FE24C0" w:rsidRDefault="00791607" w:rsidP="00F575C2">
      <w:pPr>
        <w:spacing w:after="120"/>
        <w:ind w:left="2127" w:hanging="1985"/>
        <w:rPr>
          <w:szCs w:val="22"/>
          <w:lang w:val="es-NI"/>
        </w:rPr>
      </w:pPr>
      <w:r w:rsidRPr="00FE24C0">
        <w:rPr>
          <w:b/>
          <w:szCs w:val="22"/>
          <w:lang w:val="es-NI"/>
        </w:rPr>
        <w:t>SEMUNA</w:t>
      </w:r>
      <w:r w:rsidRPr="00FE24C0">
        <w:rPr>
          <w:b/>
          <w:szCs w:val="22"/>
          <w:lang w:val="es-NI"/>
        </w:rPr>
        <w:tab/>
      </w:r>
      <w:r w:rsidRPr="00FE24C0">
        <w:rPr>
          <w:szCs w:val="22"/>
          <w:lang w:val="es-NI"/>
        </w:rPr>
        <w:t>National Insurance of Predictable Multi-Risks in Agriculture (</w:t>
      </w:r>
      <w:r w:rsidRPr="00FE24C0">
        <w:rPr>
          <w:i/>
          <w:color w:val="000000"/>
          <w:szCs w:val="22"/>
          <w:lang w:val="es-NI"/>
        </w:rPr>
        <w:t>Seguro de Previsibilidad de Multi-riesgo Agrícola Nacional</w:t>
      </w:r>
      <w:r w:rsidRPr="00FE24C0">
        <w:rPr>
          <w:color w:val="000000"/>
          <w:szCs w:val="22"/>
          <w:lang w:val="es-NI"/>
        </w:rPr>
        <w:t>)</w:t>
      </w:r>
    </w:p>
    <w:p w:rsidR="00CB73D5" w:rsidRPr="00FE24C0" w:rsidRDefault="00CB73D5" w:rsidP="00F575C2">
      <w:pPr>
        <w:spacing w:after="120"/>
        <w:ind w:left="2127" w:hanging="1985"/>
        <w:rPr>
          <w:szCs w:val="22"/>
          <w:lang w:val="es-NI"/>
        </w:rPr>
      </w:pPr>
      <w:r w:rsidRPr="00FE24C0">
        <w:rPr>
          <w:b/>
          <w:szCs w:val="22"/>
          <w:lang w:val="es-NI"/>
        </w:rPr>
        <w:t>SENASA</w:t>
      </w:r>
      <w:r w:rsidRPr="00FE24C0">
        <w:rPr>
          <w:b/>
          <w:szCs w:val="22"/>
          <w:lang w:val="es-NI"/>
        </w:rPr>
        <w:tab/>
      </w:r>
      <w:r w:rsidRPr="00FE24C0">
        <w:rPr>
          <w:szCs w:val="22"/>
          <w:lang w:val="es-NI"/>
        </w:rPr>
        <w:t xml:space="preserve">National Service for Animal </w:t>
      </w:r>
      <w:r w:rsidR="00766A08" w:rsidRPr="00FE24C0">
        <w:rPr>
          <w:szCs w:val="22"/>
          <w:lang w:val="es-NI"/>
        </w:rPr>
        <w:t>Health</w:t>
      </w:r>
      <w:r w:rsidRPr="00FE24C0">
        <w:rPr>
          <w:szCs w:val="22"/>
          <w:lang w:val="es-NI"/>
        </w:rPr>
        <w:t xml:space="preserve"> (</w:t>
      </w:r>
      <w:r w:rsidRPr="00FE24C0">
        <w:rPr>
          <w:i/>
          <w:szCs w:val="22"/>
          <w:lang w:val="es-NI"/>
        </w:rPr>
        <w:t>Servicio Nacional de Sanidad Animal</w:t>
      </w:r>
      <w:r w:rsidRPr="00FE24C0">
        <w:rPr>
          <w:szCs w:val="22"/>
          <w:lang w:val="es-NI"/>
        </w:rPr>
        <w:t>)</w:t>
      </w:r>
    </w:p>
    <w:p w:rsidR="00931766" w:rsidRPr="00FE24C0" w:rsidRDefault="00931766" w:rsidP="00F575C2">
      <w:pPr>
        <w:spacing w:after="120"/>
        <w:ind w:left="2127" w:hanging="1985"/>
        <w:rPr>
          <w:szCs w:val="22"/>
          <w:lang w:val="es-NI"/>
        </w:rPr>
      </w:pPr>
      <w:r w:rsidRPr="00FE24C0">
        <w:rPr>
          <w:b/>
          <w:szCs w:val="22"/>
          <w:lang w:val="es-NI"/>
        </w:rPr>
        <w:t>SSN</w:t>
      </w:r>
      <w:r w:rsidR="00B260B0" w:rsidRPr="00FE24C0">
        <w:rPr>
          <w:szCs w:val="22"/>
          <w:lang w:val="es-NI"/>
        </w:rPr>
        <w:tab/>
        <w:t xml:space="preserve">Superintendent </w:t>
      </w:r>
      <w:r w:rsidRPr="00FE24C0">
        <w:rPr>
          <w:szCs w:val="22"/>
          <w:lang w:val="es-NI"/>
        </w:rPr>
        <w:t>o</w:t>
      </w:r>
      <w:r w:rsidR="00B260B0" w:rsidRPr="00FE24C0">
        <w:rPr>
          <w:szCs w:val="22"/>
          <w:lang w:val="es-NI"/>
        </w:rPr>
        <w:t>f</w:t>
      </w:r>
      <w:r w:rsidRPr="00FE24C0">
        <w:rPr>
          <w:szCs w:val="22"/>
          <w:lang w:val="es-NI"/>
        </w:rPr>
        <w:t xml:space="preserve"> Insurance of the Nation (</w:t>
      </w:r>
      <w:r w:rsidRPr="00FE24C0">
        <w:rPr>
          <w:i/>
          <w:szCs w:val="22"/>
          <w:lang w:val="es-NI"/>
        </w:rPr>
        <w:t>Superintendencia de Seguros de la Naci</w:t>
      </w:r>
      <w:r w:rsidR="00C209D7" w:rsidRPr="00FE24C0">
        <w:rPr>
          <w:i/>
          <w:szCs w:val="22"/>
          <w:lang w:val="es-NI"/>
        </w:rPr>
        <w:t>ó</w:t>
      </w:r>
      <w:r w:rsidRPr="00FE24C0">
        <w:rPr>
          <w:i/>
          <w:szCs w:val="22"/>
          <w:lang w:val="es-NI"/>
        </w:rPr>
        <w:t>n</w:t>
      </w:r>
      <w:r w:rsidRPr="00FE24C0">
        <w:rPr>
          <w:szCs w:val="22"/>
          <w:lang w:val="es-NI"/>
        </w:rPr>
        <w:t>)</w:t>
      </w:r>
    </w:p>
    <w:p w:rsidR="00B260B0" w:rsidRPr="00FE24C0" w:rsidRDefault="00B260B0" w:rsidP="00F575C2">
      <w:pPr>
        <w:spacing w:after="120"/>
        <w:ind w:left="2127" w:hanging="1985"/>
        <w:rPr>
          <w:szCs w:val="22"/>
        </w:rPr>
      </w:pPr>
      <w:r w:rsidRPr="00FE24C0">
        <w:rPr>
          <w:b/>
          <w:szCs w:val="22"/>
        </w:rPr>
        <w:t>SWBA</w:t>
      </w:r>
      <w:r w:rsidRPr="00FE24C0">
        <w:rPr>
          <w:b/>
          <w:szCs w:val="22"/>
        </w:rPr>
        <w:tab/>
      </w:r>
      <w:r w:rsidRPr="00FE24C0">
        <w:rPr>
          <w:szCs w:val="22"/>
        </w:rPr>
        <w:t>South West Buenos Aires Province</w:t>
      </w:r>
    </w:p>
    <w:p w:rsidR="007C4253" w:rsidRPr="00FE24C0" w:rsidRDefault="007C4253" w:rsidP="00F575C2">
      <w:pPr>
        <w:spacing w:after="120"/>
        <w:ind w:left="2127" w:hanging="1985"/>
        <w:rPr>
          <w:szCs w:val="22"/>
        </w:rPr>
      </w:pPr>
      <w:r w:rsidRPr="00FE24C0">
        <w:rPr>
          <w:b/>
          <w:szCs w:val="22"/>
        </w:rPr>
        <w:t>TSI</w:t>
      </w:r>
      <w:r w:rsidRPr="00FE24C0">
        <w:rPr>
          <w:b/>
          <w:szCs w:val="22"/>
        </w:rPr>
        <w:tab/>
      </w:r>
      <w:r w:rsidRPr="00FE24C0">
        <w:rPr>
          <w:szCs w:val="22"/>
        </w:rPr>
        <w:t>Total Sum Insured</w:t>
      </w:r>
    </w:p>
    <w:p w:rsidR="00CC35B0" w:rsidRPr="00FE24C0" w:rsidRDefault="00CC35B0" w:rsidP="00F575C2">
      <w:pPr>
        <w:spacing w:after="120"/>
        <w:ind w:left="2127" w:hanging="1985"/>
        <w:rPr>
          <w:szCs w:val="22"/>
        </w:rPr>
      </w:pPr>
      <w:r w:rsidRPr="00FE24C0">
        <w:rPr>
          <w:b/>
          <w:szCs w:val="22"/>
        </w:rPr>
        <w:t>USGS-EROS</w:t>
      </w:r>
      <w:r w:rsidRPr="00FE24C0">
        <w:rPr>
          <w:b/>
          <w:szCs w:val="22"/>
        </w:rPr>
        <w:tab/>
      </w:r>
      <w:r w:rsidRPr="00FE24C0">
        <w:rPr>
          <w:szCs w:val="22"/>
        </w:rPr>
        <w:t>United States Geological Service, Earth Resources Observation and Science</w:t>
      </w:r>
    </w:p>
    <w:p w:rsidR="0092447C" w:rsidRPr="00FE24C0" w:rsidRDefault="001A24FC" w:rsidP="00F575C2">
      <w:pPr>
        <w:spacing w:after="120"/>
        <w:ind w:left="2127" w:hanging="1985"/>
        <w:rPr>
          <w:szCs w:val="22"/>
          <w:lang w:val="es-NI"/>
        </w:rPr>
      </w:pPr>
      <w:r w:rsidRPr="00FE24C0">
        <w:rPr>
          <w:b/>
          <w:szCs w:val="22"/>
          <w:lang w:val="es-NI"/>
        </w:rPr>
        <w:t>VAT</w:t>
      </w:r>
      <w:r w:rsidRPr="00FE24C0">
        <w:rPr>
          <w:b/>
          <w:szCs w:val="22"/>
          <w:lang w:val="es-NI"/>
        </w:rPr>
        <w:tab/>
      </w:r>
      <w:r w:rsidRPr="00FE24C0">
        <w:rPr>
          <w:szCs w:val="22"/>
          <w:lang w:val="es-NI"/>
        </w:rPr>
        <w:t>Value Added Taxes (</w:t>
      </w:r>
      <w:r w:rsidRPr="00FE24C0">
        <w:rPr>
          <w:i/>
          <w:szCs w:val="22"/>
          <w:lang w:val="es-NI"/>
        </w:rPr>
        <w:t>Impuesto al Valor Agregado</w:t>
      </w:r>
      <w:r w:rsidR="0092447C" w:rsidRPr="00FE24C0">
        <w:rPr>
          <w:i/>
          <w:szCs w:val="22"/>
          <w:lang w:val="es-NI"/>
        </w:rPr>
        <w:t>-IVA</w:t>
      </w:r>
      <w:r w:rsidRPr="00FE24C0">
        <w:rPr>
          <w:szCs w:val="22"/>
          <w:lang w:val="es-NI"/>
        </w:rPr>
        <w:t>)</w:t>
      </w:r>
    </w:p>
    <w:p w:rsidR="00B260B0" w:rsidRPr="00FE24C0" w:rsidRDefault="00B260B0" w:rsidP="00F575C2">
      <w:pPr>
        <w:spacing w:after="120"/>
        <w:ind w:left="2127" w:hanging="1985"/>
        <w:rPr>
          <w:szCs w:val="22"/>
        </w:rPr>
      </w:pPr>
      <w:r w:rsidRPr="00FE24C0">
        <w:rPr>
          <w:b/>
          <w:szCs w:val="22"/>
        </w:rPr>
        <w:t>WII</w:t>
      </w:r>
      <w:r w:rsidRPr="00FE24C0">
        <w:rPr>
          <w:b/>
          <w:szCs w:val="22"/>
        </w:rPr>
        <w:tab/>
      </w:r>
      <w:r w:rsidRPr="00FE24C0">
        <w:rPr>
          <w:szCs w:val="22"/>
        </w:rPr>
        <w:t>Weather Index Insurance</w:t>
      </w:r>
    </w:p>
    <w:p w:rsidR="000A6629" w:rsidRPr="00FE24C0" w:rsidRDefault="000A6629" w:rsidP="00F575C2">
      <w:pPr>
        <w:spacing w:after="120"/>
        <w:ind w:left="2127" w:hanging="1985"/>
        <w:rPr>
          <w:szCs w:val="22"/>
        </w:rPr>
      </w:pPr>
      <w:r w:rsidRPr="00FE24C0">
        <w:rPr>
          <w:b/>
          <w:szCs w:val="22"/>
        </w:rPr>
        <w:t>XOL</w:t>
      </w:r>
      <w:r w:rsidRPr="00FE24C0">
        <w:rPr>
          <w:b/>
          <w:szCs w:val="22"/>
        </w:rPr>
        <w:tab/>
      </w:r>
      <w:r w:rsidR="001A24FC" w:rsidRPr="00FE24C0">
        <w:rPr>
          <w:szCs w:val="22"/>
        </w:rPr>
        <w:t>Excess of Loss Reinsurance</w:t>
      </w:r>
    </w:p>
    <w:p w:rsidR="00C209D7" w:rsidRPr="00FE24C0" w:rsidRDefault="00C209D7" w:rsidP="00F575C2">
      <w:pPr>
        <w:spacing w:after="120"/>
        <w:ind w:left="2127" w:hanging="1985"/>
        <w:rPr>
          <w:szCs w:val="22"/>
        </w:rPr>
      </w:pPr>
    </w:p>
    <w:p w:rsidR="006D2120" w:rsidRPr="00FE24C0" w:rsidRDefault="006D2120" w:rsidP="007754D4">
      <w:pPr>
        <w:rPr>
          <w:szCs w:val="22"/>
        </w:rPr>
      </w:pPr>
      <w:r w:rsidRPr="00FE24C0">
        <w:rPr>
          <w:szCs w:val="22"/>
        </w:rPr>
        <w:br w:type="page"/>
      </w:r>
    </w:p>
    <w:p w:rsidR="006D2120" w:rsidRPr="00FE24C0" w:rsidRDefault="006D2120" w:rsidP="00C64A37">
      <w:pPr>
        <w:pStyle w:val="Ttulo1"/>
        <w:numPr>
          <w:ilvl w:val="0"/>
          <w:numId w:val="0"/>
        </w:numPr>
        <w:jc w:val="center"/>
        <w:rPr>
          <w:rFonts w:cs="Times New Roman"/>
        </w:rPr>
      </w:pPr>
      <w:bookmarkStart w:id="3" w:name="_Toc345794246"/>
      <w:r w:rsidRPr="00FE24C0">
        <w:rPr>
          <w:rFonts w:cs="Times New Roman"/>
        </w:rPr>
        <w:lastRenderedPageBreak/>
        <w:t>EXECUTIVE SUMMARY</w:t>
      </w:r>
      <w:bookmarkEnd w:id="3"/>
    </w:p>
    <w:p w:rsidR="00C64A37" w:rsidRPr="00FE24C0" w:rsidRDefault="00C64A37" w:rsidP="00593B59">
      <w:pPr>
        <w:pStyle w:val="WB"/>
        <w:numPr>
          <w:ilvl w:val="0"/>
          <w:numId w:val="16"/>
        </w:numPr>
        <w:tabs>
          <w:tab w:val="left" w:pos="426"/>
        </w:tabs>
        <w:ind w:left="0" w:firstLine="0"/>
        <w:rPr>
          <w:szCs w:val="22"/>
        </w:rPr>
      </w:pPr>
      <w:r w:rsidRPr="00FE24C0">
        <w:rPr>
          <w:b/>
          <w:i/>
        </w:rPr>
        <w:t xml:space="preserve">In 2011, the Government of Argentina through the Ministry of Agriculture, Livestock and Fisheries (MAGyP), requested the World Bank to conduct a feasibility study for the development of a suitable index-based agricultural insurance product to protect cattle producers located in </w:t>
      </w:r>
      <w:r w:rsidR="00C905D5" w:rsidRPr="00FE24C0">
        <w:rPr>
          <w:b/>
          <w:i/>
        </w:rPr>
        <w:t>South West Buenos Aires (</w:t>
      </w:r>
      <w:r w:rsidRPr="00FE24C0">
        <w:rPr>
          <w:b/>
          <w:i/>
        </w:rPr>
        <w:t>SWBA</w:t>
      </w:r>
      <w:r w:rsidR="00C905D5" w:rsidRPr="00FE24C0">
        <w:rPr>
          <w:b/>
          <w:i/>
        </w:rPr>
        <w:t>) Province</w:t>
      </w:r>
      <w:r w:rsidRPr="00FE24C0">
        <w:rPr>
          <w:b/>
          <w:i/>
        </w:rPr>
        <w:t xml:space="preserve"> against severe drought and other climatic losses in their pasture and natural grazing</w:t>
      </w:r>
      <w:r w:rsidRPr="00FE24C0">
        <w:t>.</w:t>
      </w:r>
    </w:p>
    <w:p w:rsidR="00C64A37" w:rsidRPr="00FE24C0" w:rsidRDefault="00C64A37" w:rsidP="00593B59">
      <w:pPr>
        <w:pStyle w:val="WB"/>
        <w:numPr>
          <w:ilvl w:val="0"/>
          <w:numId w:val="16"/>
        </w:numPr>
        <w:tabs>
          <w:tab w:val="left" w:pos="426"/>
        </w:tabs>
        <w:ind w:left="0" w:firstLine="0"/>
        <w:rPr>
          <w:szCs w:val="22"/>
        </w:rPr>
      </w:pPr>
      <w:r w:rsidRPr="00FE24C0">
        <w:rPr>
          <w:b/>
          <w:i/>
        </w:rPr>
        <w:t xml:space="preserve">This report </w:t>
      </w:r>
      <w:r w:rsidRPr="00FE24C0">
        <w:rPr>
          <w:b/>
          <w:i/>
          <w:szCs w:val="22"/>
        </w:rPr>
        <w:t>presents</w:t>
      </w:r>
      <w:r w:rsidRPr="00FE24C0">
        <w:rPr>
          <w:b/>
          <w:i/>
        </w:rPr>
        <w:t xml:space="preserve"> the findings and recommendations of the feasibility study for a macro-level NDVI index insurance program for the Federal Government </w:t>
      </w:r>
      <w:r w:rsidR="006A4081">
        <w:rPr>
          <w:b/>
          <w:i/>
        </w:rPr>
        <w:t>and/</w:t>
      </w:r>
      <w:r w:rsidRPr="00FE24C0">
        <w:rPr>
          <w:b/>
          <w:i/>
        </w:rPr>
        <w:t xml:space="preserve">or Provincial Government of Buenos Aires as part of their natural-disaster risk </w:t>
      </w:r>
      <w:r w:rsidRPr="00FE24C0">
        <w:rPr>
          <w:b/>
          <w:i/>
          <w:color w:val="000000"/>
        </w:rPr>
        <w:t>management</w:t>
      </w:r>
      <w:r w:rsidRPr="00FE24C0">
        <w:rPr>
          <w:b/>
          <w:i/>
        </w:rPr>
        <w:t xml:space="preserve"> strategies for cattle producers located in S</w:t>
      </w:r>
      <w:r w:rsidR="00C905D5" w:rsidRPr="00FE24C0">
        <w:rPr>
          <w:b/>
          <w:i/>
        </w:rPr>
        <w:t>WBA</w:t>
      </w:r>
      <w:r w:rsidRPr="00FE24C0">
        <w:rPr>
          <w:b/>
          <w:i/>
        </w:rPr>
        <w:t xml:space="preserve">.  </w:t>
      </w:r>
      <w:r w:rsidRPr="00FE24C0">
        <w:t xml:space="preserve">NDVI Index insurance for pasture is a very flexible instrument which can be designed to protect the insured interest of individual livestock producers (termed micro-level insurance) through to the interests of regional authorities or national governments (termed macro-level insurance) for example, as part of a national natural and climatic disaster risk management program.  The NDVI-index insurance feasibility study is based on the design of a macro-level product whose main objective consist on making timely payouts to livestock producers in the event of severe drought induced losses in their pasture and natural grazing and enabling these producers to purchase necessary supplementary fodder to maintain their herds.  The advantages and disadvantages of alternative micro-level individual farmer NDVI insurance are also reviewed in this report. </w:t>
      </w:r>
    </w:p>
    <w:p w:rsidR="00C64A37" w:rsidRPr="00FE24C0" w:rsidRDefault="00C64A37" w:rsidP="00C64A37">
      <w:pPr>
        <w:pStyle w:val="WB"/>
        <w:numPr>
          <w:ilvl w:val="0"/>
          <w:numId w:val="0"/>
        </w:numPr>
        <w:spacing w:before="240"/>
        <w:rPr>
          <w:sz w:val="24"/>
          <w:szCs w:val="24"/>
        </w:rPr>
      </w:pPr>
      <w:r w:rsidRPr="00FE24C0">
        <w:rPr>
          <w:b/>
          <w:sz w:val="24"/>
          <w:szCs w:val="24"/>
        </w:rPr>
        <w:t>Drought Exposure to Cattle Production in South West Buenos Province, Argentina</w:t>
      </w:r>
    </w:p>
    <w:p w:rsidR="00C64A37" w:rsidRPr="00FE24C0" w:rsidRDefault="00C64A37" w:rsidP="00593B59">
      <w:pPr>
        <w:pStyle w:val="WB"/>
        <w:numPr>
          <w:ilvl w:val="0"/>
          <w:numId w:val="16"/>
        </w:numPr>
        <w:tabs>
          <w:tab w:val="left" w:pos="426"/>
        </w:tabs>
        <w:ind w:left="0" w:firstLine="0"/>
        <w:rPr>
          <w:szCs w:val="22"/>
        </w:rPr>
      </w:pPr>
      <w:r w:rsidRPr="00FE24C0">
        <w:rPr>
          <w:b/>
          <w:i/>
        </w:rPr>
        <w:t>Cattle production in South West of Buenos Aires Province is an important economic and social activity</w:t>
      </w:r>
      <w:r w:rsidRPr="00FE24C0">
        <w:rPr>
          <w:i/>
        </w:rPr>
        <w:t xml:space="preserve">.  </w:t>
      </w:r>
      <w:r w:rsidRPr="00FE24C0">
        <w:t xml:space="preserve">Agricultural </w:t>
      </w:r>
      <w:r w:rsidR="009D3C1B">
        <w:t xml:space="preserve">crop and livestock </w:t>
      </w:r>
      <w:r w:rsidRPr="00FE24C0">
        <w:t xml:space="preserve">production accounts for </w:t>
      </w:r>
      <w:r w:rsidRPr="00FE24C0">
        <w:rPr>
          <w:szCs w:val="22"/>
        </w:rPr>
        <w:t xml:space="preserve">an important 28% of the Gross Geographic Product (GGP) of the </w:t>
      </w:r>
      <w:r w:rsidR="009D3C1B">
        <w:rPr>
          <w:szCs w:val="22"/>
        </w:rPr>
        <w:t xml:space="preserve">SWBA Region and </w:t>
      </w:r>
      <w:r w:rsidR="004E45AE">
        <w:rPr>
          <w:szCs w:val="22"/>
        </w:rPr>
        <w:t>cattle production</w:t>
      </w:r>
      <w:r w:rsidR="009D3C1B">
        <w:rPr>
          <w:szCs w:val="22"/>
        </w:rPr>
        <w:t xml:space="preserve"> alone accounts for 15% of GGP in SWBA</w:t>
      </w:r>
      <w:r w:rsidRPr="00FE24C0">
        <w:rPr>
          <w:szCs w:val="22"/>
        </w:rPr>
        <w:t xml:space="preserve">. The SWBA is basically a cattle rearing zone and it </w:t>
      </w:r>
      <w:r w:rsidR="00152AB1">
        <w:rPr>
          <w:szCs w:val="22"/>
        </w:rPr>
        <w:t>accounts for</w:t>
      </w:r>
      <w:r w:rsidRPr="00FE24C0">
        <w:rPr>
          <w:szCs w:val="22"/>
        </w:rPr>
        <w:t xml:space="preserve"> 15% of the total beef cattle production in the Province of Buenos Aires</w:t>
      </w:r>
      <w:r w:rsidR="009B3D16">
        <w:rPr>
          <w:szCs w:val="22"/>
        </w:rPr>
        <w:t xml:space="preserve"> and approximately 4% of the total beef production in Argentina</w:t>
      </w:r>
      <w:r w:rsidRPr="00FE24C0">
        <w:rPr>
          <w:szCs w:val="22"/>
        </w:rPr>
        <w:t>.  There are</w:t>
      </w:r>
      <w:r w:rsidRPr="00FE24C0">
        <w:t xml:space="preserve"> over 8,000 registered cattle producers with more than 2 million head of mainly beef cattle production in an area of about 3 million hectares of pasture (of which more than 85% is natural pasture).  </w:t>
      </w:r>
    </w:p>
    <w:p w:rsidR="00C64A37" w:rsidRPr="00FE24C0" w:rsidRDefault="00C64A37" w:rsidP="00593B59">
      <w:pPr>
        <w:pStyle w:val="WB"/>
        <w:numPr>
          <w:ilvl w:val="0"/>
          <w:numId w:val="16"/>
        </w:numPr>
        <w:tabs>
          <w:tab w:val="left" w:pos="426"/>
        </w:tabs>
        <w:ind w:left="0" w:firstLine="0"/>
        <w:rPr>
          <w:szCs w:val="22"/>
        </w:rPr>
      </w:pPr>
      <w:r w:rsidRPr="00FE24C0">
        <w:rPr>
          <w:b/>
          <w:i/>
          <w:szCs w:val="22"/>
        </w:rPr>
        <w:t>In SWBA cattle production is based on extensive grazing of natural grassland which is grown under rain fed conditions</w:t>
      </w:r>
      <w:r w:rsidRPr="00FE24C0">
        <w:rPr>
          <w:szCs w:val="22"/>
        </w:rPr>
        <w:t xml:space="preserve">. Cattle rearing and fattening is therefore highly dependent on adequate rainfall during the spring and autumn to produce the pasture production and grazing required by the cattle. There are two main rainy seasons, </w:t>
      </w:r>
      <w:r w:rsidRPr="00FE24C0">
        <w:t>spring</w:t>
      </w:r>
      <w:r w:rsidRPr="00FE24C0">
        <w:rPr>
          <w:szCs w:val="22"/>
        </w:rPr>
        <w:t xml:space="preserve"> and </w:t>
      </w:r>
      <w:r w:rsidRPr="00FE24C0">
        <w:t>autumn,</w:t>
      </w:r>
      <w:r w:rsidRPr="00FE24C0">
        <w:rPr>
          <w:szCs w:val="22"/>
        </w:rPr>
        <w:t xml:space="preserve"> and two dry seasons in winter and then in summer (January and February) when temperatures and rainfall conditions are not enough for pasture development.</w:t>
      </w:r>
    </w:p>
    <w:p w:rsidR="00C64A37" w:rsidRPr="00FE24C0" w:rsidRDefault="00C64A37" w:rsidP="00593B59">
      <w:pPr>
        <w:pStyle w:val="WB"/>
        <w:numPr>
          <w:ilvl w:val="0"/>
          <w:numId w:val="16"/>
        </w:numPr>
        <w:tabs>
          <w:tab w:val="left" w:pos="426"/>
        </w:tabs>
        <w:ind w:left="0" w:firstLine="0"/>
        <w:rPr>
          <w:szCs w:val="22"/>
        </w:rPr>
      </w:pPr>
      <w:r w:rsidRPr="00FE24C0">
        <w:rPr>
          <w:b/>
          <w:i/>
          <w:szCs w:val="22"/>
        </w:rPr>
        <w:t xml:space="preserve">Average annual rainfall is low in SWBA Province and agricultural crop and livestock production is very exposed to drought.  </w:t>
      </w:r>
      <w:r w:rsidRPr="00FE24C0">
        <w:rPr>
          <w:szCs w:val="22"/>
        </w:rPr>
        <w:t xml:space="preserve">Average annual rainfall varies from a maximum of about 700 mm in the north of SWBA to less than 400 mm in the centre and south of the region which is classified as semi-arid and rainfall is too low to sustain crop production.  Years in which weak or moderate droughts have </w:t>
      </w:r>
      <w:r w:rsidRPr="00FE24C0">
        <w:t>been</w:t>
      </w:r>
      <w:r w:rsidRPr="00FE24C0">
        <w:rPr>
          <w:szCs w:val="22"/>
        </w:rPr>
        <w:t xml:space="preserve"> recorded in this region include 1971, 1973, 1974, 1981, 1988, 1995, 1999, 2003, 2005, and then severe droughts have been registered </w:t>
      </w:r>
      <w:proofErr w:type="gramStart"/>
      <w:r w:rsidRPr="00FE24C0">
        <w:rPr>
          <w:szCs w:val="22"/>
        </w:rPr>
        <w:t>between 2008</w:t>
      </w:r>
      <w:r w:rsidR="00865CC5">
        <w:rPr>
          <w:szCs w:val="22"/>
        </w:rPr>
        <w:t>-</w:t>
      </w:r>
      <w:r w:rsidRPr="00FE24C0">
        <w:rPr>
          <w:szCs w:val="22"/>
        </w:rPr>
        <w:t>09</w:t>
      </w:r>
      <w:proofErr w:type="gramEnd"/>
      <w:r w:rsidR="00865CC5">
        <w:rPr>
          <w:szCs w:val="22"/>
        </w:rPr>
        <w:t xml:space="preserve"> and again in </w:t>
      </w:r>
      <w:r w:rsidR="00B76DDA">
        <w:rPr>
          <w:szCs w:val="22"/>
        </w:rPr>
        <w:t>the spring</w:t>
      </w:r>
      <w:r w:rsidR="005A6F83">
        <w:rPr>
          <w:szCs w:val="22"/>
        </w:rPr>
        <w:t xml:space="preserve"> 2011 and </w:t>
      </w:r>
      <w:r w:rsidR="00B76DDA">
        <w:rPr>
          <w:szCs w:val="22"/>
        </w:rPr>
        <w:t xml:space="preserve">summer </w:t>
      </w:r>
      <w:r w:rsidR="00865CC5">
        <w:rPr>
          <w:szCs w:val="22"/>
        </w:rPr>
        <w:t>2011-12</w:t>
      </w:r>
      <w:r w:rsidRPr="00FE24C0">
        <w:rPr>
          <w:szCs w:val="22"/>
        </w:rPr>
        <w:t>.</w:t>
      </w:r>
    </w:p>
    <w:p w:rsidR="00C64A37" w:rsidRPr="00FE24C0" w:rsidRDefault="00C64A37" w:rsidP="00593B59">
      <w:pPr>
        <w:pStyle w:val="WB"/>
        <w:numPr>
          <w:ilvl w:val="0"/>
          <w:numId w:val="16"/>
        </w:numPr>
        <w:tabs>
          <w:tab w:val="left" w:pos="426"/>
        </w:tabs>
        <w:ind w:left="0" w:firstLine="0"/>
        <w:rPr>
          <w:szCs w:val="22"/>
        </w:rPr>
      </w:pPr>
      <w:r w:rsidRPr="00FE24C0">
        <w:rPr>
          <w:b/>
          <w:i/>
          <w:szCs w:val="22"/>
        </w:rPr>
        <w:t>There has been a major decline in the beef cattle herd in SWBA over the past decade on account of the severe droughts</w:t>
      </w:r>
      <w:r w:rsidRPr="00FE24C0">
        <w:rPr>
          <w:szCs w:val="22"/>
        </w:rPr>
        <w:t xml:space="preserve">. In 2002 there were a total of 3.6 million registered cattle in </w:t>
      </w:r>
      <w:r w:rsidRPr="00FE24C0">
        <w:rPr>
          <w:szCs w:val="22"/>
        </w:rPr>
        <w:lastRenderedPageBreak/>
        <w:t xml:space="preserve">South West Buenos Aires Province, </w:t>
      </w:r>
      <w:r w:rsidRPr="00FE24C0">
        <w:t>but</w:t>
      </w:r>
      <w:r w:rsidRPr="00FE24C0">
        <w:rPr>
          <w:szCs w:val="22"/>
        </w:rPr>
        <w:t xml:space="preserve"> by 2010 the </w:t>
      </w:r>
      <w:r w:rsidRPr="00FE24C0">
        <w:t>estimated</w:t>
      </w:r>
      <w:r w:rsidRPr="00FE24C0">
        <w:rPr>
          <w:szCs w:val="22"/>
        </w:rPr>
        <w:t xml:space="preserve"> number had fallen by 41% to only 2.2 million head of cattle. The decline in the cattle numbers has been very sharp between 2008 and 2010 with a reduction of 1 million head of cattle over this three year period which coincides with the very severe droughts of 2008 and 2009.  </w:t>
      </w:r>
    </w:p>
    <w:p w:rsidR="00C64A37" w:rsidRPr="00FE24C0" w:rsidRDefault="00C64A37" w:rsidP="00C64A37">
      <w:pPr>
        <w:pStyle w:val="WB"/>
        <w:numPr>
          <w:ilvl w:val="0"/>
          <w:numId w:val="0"/>
        </w:numPr>
        <w:rPr>
          <w:sz w:val="24"/>
          <w:szCs w:val="24"/>
        </w:rPr>
      </w:pPr>
      <w:r w:rsidRPr="00FE24C0">
        <w:rPr>
          <w:b/>
          <w:sz w:val="24"/>
          <w:szCs w:val="24"/>
        </w:rPr>
        <w:t>Pasture Insurance using Satellite-based Remote Sensing Indexes</w:t>
      </w:r>
    </w:p>
    <w:p w:rsidR="00C64A37" w:rsidRPr="00FE24C0" w:rsidRDefault="00C64A37" w:rsidP="00593B59">
      <w:pPr>
        <w:pStyle w:val="WB"/>
        <w:numPr>
          <w:ilvl w:val="0"/>
          <w:numId w:val="16"/>
        </w:numPr>
        <w:tabs>
          <w:tab w:val="left" w:pos="426"/>
        </w:tabs>
        <w:ind w:left="0" w:firstLine="0"/>
        <w:rPr>
          <w:szCs w:val="22"/>
        </w:rPr>
      </w:pPr>
      <w:r w:rsidRPr="00FE24C0">
        <w:rPr>
          <w:b/>
          <w:i/>
        </w:rPr>
        <w:t>Traditional indemnity-based crop insurance has not been successfully developed for pasture and natural grazing, but recent innovations in remote sensing indexes appears to offer a viable alternative for insuring pasture against climatic perils such as drought</w:t>
      </w:r>
      <w:r w:rsidRPr="00FE24C0">
        <w:t>. Traditional indemnity-based crop insurance programs have been widely developed for more than a century for a wide range of annual cereal, oil seed and horticultural crops, but to date indemnity based insurance has not been able to provide practical solutions for insuring extensive natural pasture and grazing lands against production and yield losses due to climatic and natural perils. Conversely the last decade has seen the development of new innovative parametric or index-based solutions to insure against production losses in pasture, all of which use satellite imagery to measure the Normalized Difference Vegetative Index (NDVI) in pasture</w:t>
      </w:r>
      <w:r w:rsidR="008876E4">
        <w:t>.</w:t>
      </w:r>
    </w:p>
    <w:p w:rsidR="00C64A37" w:rsidRPr="00FE24C0" w:rsidRDefault="00C64A37" w:rsidP="00593B59">
      <w:pPr>
        <w:pStyle w:val="WB"/>
        <w:numPr>
          <w:ilvl w:val="0"/>
          <w:numId w:val="16"/>
        </w:numPr>
        <w:tabs>
          <w:tab w:val="left" w:pos="426"/>
        </w:tabs>
        <w:ind w:left="0" w:firstLine="0"/>
        <w:rPr>
          <w:szCs w:val="22"/>
        </w:rPr>
      </w:pPr>
      <w:r w:rsidRPr="00FE24C0">
        <w:rPr>
          <w:b/>
          <w:i/>
        </w:rPr>
        <w:t>Remote sensing Normalized Difference Vegetative Indexes (NDVI) offer potential for insuring pasture and grazing lands against natural and climatic perils and several commercial schemes are now offering this insurance cover to livestock producers.</w:t>
      </w:r>
      <w:r w:rsidRPr="00FE24C0">
        <w:t xml:space="preserve">  The NDVI is a measure of the difference in reflectance between two wavelength ranges, the Red (R) and Near Infra Red (NIR) radiatio</w:t>
      </w:r>
      <w:r w:rsidR="00C905D5" w:rsidRPr="00FE24C0">
        <w:t>n.</w:t>
      </w:r>
      <w:r w:rsidRPr="00FE24C0">
        <w:t xml:space="preserve">  Healthy vegetation tends to absorb strongly the Red (R) wavelengths of sunlight and to reflect light in the Near Infra Red (NIR) wavelength and as such the NDVI index provides a very good indicator of the vegetative growth condition or plant vigor of any type of vegetation (e.g. annual crops, pasture, and forestry). By analyzing monthly NDVI values for pasture and rangelands over a series of 15 or more years, it is possible to construct an NDVI index for insurance purposes and which is calibrated according the frequency of extreme climate years (e.g. major droughts) and the required frequency and magnitude of payouts. </w:t>
      </w:r>
    </w:p>
    <w:p w:rsidR="00C64A37" w:rsidRPr="00FE24C0" w:rsidRDefault="00C64A37" w:rsidP="00593B59">
      <w:pPr>
        <w:pStyle w:val="WB"/>
        <w:numPr>
          <w:ilvl w:val="0"/>
          <w:numId w:val="16"/>
        </w:numPr>
        <w:tabs>
          <w:tab w:val="left" w:pos="426"/>
        </w:tabs>
        <w:ind w:left="0" w:firstLine="0"/>
        <w:rPr>
          <w:szCs w:val="22"/>
        </w:rPr>
      </w:pPr>
      <w:r w:rsidRPr="00FE24C0">
        <w:rPr>
          <w:b/>
          <w:i/>
        </w:rPr>
        <w:t>Since 2000, four major agricultural insurance markets including the USA, Canada, Spain and Mexico have developed commercial pasture insurance programs based on the design of NDVI triggers</w:t>
      </w:r>
      <w:r w:rsidRPr="00FE24C0">
        <w:t xml:space="preserve">.  Three of the four programs in USA, Canada and Spain are designed as individual farmer (livestock producer) voluntary pasture NDVI index insurance programs, and are being promoted using high levels of premium subsidies: uptake rates are relatively low for this voluntary pasture index insurance product.  Conversely, the Mexican index product is designed as a macro-level ex-ante contingency financing instrument for State Governments to </w:t>
      </w:r>
      <w:r w:rsidR="00152AB1">
        <w:t xml:space="preserve">compensate </w:t>
      </w:r>
      <w:r w:rsidRPr="00FE24C0">
        <w:t>small livestock producers in the event that pasture and fodder supplies are impacted due to extreme climatic events.  In Mexico the macro-level index insurance program has been massively scaled-up over the past five years and currently insures over 60 million hectares of pasture and grazing and more than 5 million head of cattle</w:t>
      </w:r>
      <w:r w:rsidR="00B5523D">
        <w:t>, with premiums fully paid by government</w:t>
      </w:r>
      <w:r w:rsidRPr="00FE24C0">
        <w:t>.</w:t>
      </w:r>
    </w:p>
    <w:p w:rsidR="00C64A37" w:rsidRPr="00FE24C0" w:rsidRDefault="00C64A37" w:rsidP="00C64A37">
      <w:pPr>
        <w:pStyle w:val="WB"/>
        <w:numPr>
          <w:ilvl w:val="0"/>
          <w:numId w:val="0"/>
        </w:numPr>
        <w:rPr>
          <w:b/>
          <w:sz w:val="24"/>
          <w:szCs w:val="24"/>
        </w:rPr>
      </w:pPr>
      <w:r w:rsidRPr="00FE24C0">
        <w:rPr>
          <w:b/>
          <w:sz w:val="24"/>
          <w:szCs w:val="24"/>
        </w:rPr>
        <w:t>Objective of NDVI Index Insurance Program in SWBA Province</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The purpose of the </w:t>
      </w:r>
      <w:r w:rsidR="00865CC5">
        <w:rPr>
          <w:b/>
          <w:i/>
          <w:szCs w:val="22"/>
          <w:lang w:eastAsia="es-NI"/>
        </w:rPr>
        <w:t xml:space="preserve">macro-level </w:t>
      </w:r>
      <w:r w:rsidRPr="00FE24C0">
        <w:rPr>
          <w:b/>
          <w:i/>
          <w:szCs w:val="22"/>
          <w:lang w:eastAsia="es-NI"/>
        </w:rPr>
        <w:t xml:space="preserve">NDVI pasture index cover would be </w:t>
      </w:r>
      <w:r w:rsidR="00865CC5">
        <w:rPr>
          <w:b/>
          <w:i/>
          <w:szCs w:val="22"/>
          <w:lang w:eastAsia="es-NI"/>
        </w:rPr>
        <w:t xml:space="preserve">to protect </w:t>
      </w:r>
      <w:r w:rsidR="00F32D9C">
        <w:rPr>
          <w:b/>
          <w:i/>
          <w:szCs w:val="22"/>
          <w:lang w:eastAsia="es-NI"/>
        </w:rPr>
        <w:t xml:space="preserve">the </w:t>
      </w:r>
      <w:r w:rsidR="00865CC5">
        <w:rPr>
          <w:b/>
          <w:i/>
          <w:szCs w:val="22"/>
          <w:lang w:eastAsia="es-NI"/>
        </w:rPr>
        <w:t xml:space="preserve">Federal and/or Provincial </w:t>
      </w:r>
      <w:r w:rsidRPr="00FE24C0">
        <w:rPr>
          <w:b/>
          <w:i/>
          <w:szCs w:val="22"/>
          <w:lang w:eastAsia="es-NI"/>
        </w:rPr>
        <w:t xml:space="preserve">budgets in years of catastrophe (mainly drought) induced losses in the livestock sector </w:t>
      </w:r>
      <w:r w:rsidR="00865CC5">
        <w:rPr>
          <w:b/>
          <w:i/>
          <w:szCs w:val="22"/>
          <w:lang w:eastAsia="es-NI"/>
        </w:rPr>
        <w:t xml:space="preserve">in SWBA </w:t>
      </w:r>
      <w:r w:rsidRPr="00FE24C0">
        <w:rPr>
          <w:b/>
          <w:i/>
          <w:szCs w:val="22"/>
          <w:lang w:eastAsia="es-NI"/>
        </w:rPr>
        <w:t>and to ensure ex-ante timely payouts to livestock producers in areas where the quantity and quality of pasture</w:t>
      </w:r>
      <w:r w:rsidR="00F32D9C">
        <w:rPr>
          <w:b/>
          <w:i/>
          <w:szCs w:val="22"/>
          <w:lang w:eastAsia="es-NI"/>
        </w:rPr>
        <w:t xml:space="preserve"> and grazing</w:t>
      </w:r>
      <w:r w:rsidRPr="00FE24C0">
        <w:rPr>
          <w:b/>
          <w:i/>
          <w:szCs w:val="22"/>
          <w:lang w:eastAsia="es-NI"/>
        </w:rPr>
        <w:t xml:space="preserve"> is seriously reduced</w:t>
      </w:r>
      <w:r w:rsidRPr="00FE24C0">
        <w:rPr>
          <w:szCs w:val="22"/>
          <w:lang w:eastAsia="es-NI"/>
        </w:rPr>
        <w:t xml:space="preserve">. Under the proposed macro-level insurance program, all ± 8,000 cattle producers located in the qualifying pasture areas of </w:t>
      </w:r>
      <w:r w:rsidR="00C905D5" w:rsidRPr="00FE24C0">
        <w:rPr>
          <w:szCs w:val="22"/>
          <w:lang w:eastAsia="es-NI"/>
        </w:rPr>
        <w:t>SWBA</w:t>
      </w:r>
      <w:r w:rsidRPr="00FE24C0">
        <w:rPr>
          <w:szCs w:val="22"/>
          <w:lang w:eastAsia="es-NI"/>
        </w:rPr>
        <w:t xml:space="preserve"> would be automatically registered with the insurer(s) </w:t>
      </w:r>
      <w:r w:rsidRPr="00FE24C0">
        <w:t>along</w:t>
      </w:r>
      <w:r w:rsidRPr="00FE24C0">
        <w:rPr>
          <w:szCs w:val="22"/>
          <w:lang w:eastAsia="es-NI"/>
        </w:rPr>
        <w:t xml:space="preserve"> with their individual livestock holding details (the number of cattle in each eligible category of livestock) and where the NDVI cover is triggered they would be the beneficiaries of the financial payouts</w:t>
      </w:r>
      <w:r w:rsidRPr="00FE24C0">
        <w:rPr>
          <w:b/>
          <w:i/>
        </w:rPr>
        <w:t>.</w:t>
      </w:r>
    </w:p>
    <w:p w:rsidR="00C64A37" w:rsidRPr="00FE24C0" w:rsidRDefault="00C64A37" w:rsidP="00593B59">
      <w:pPr>
        <w:pStyle w:val="WB"/>
        <w:numPr>
          <w:ilvl w:val="0"/>
          <w:numId w:val="16"/>
        </w:numPr>
        <w:tabs>
          <w:tab w:val="left" w:pos="426"/>
        </w:tabs>
        <w:ind w:left="0" w:firstLine="0"/>
        <w:rPr>
          <w:szCs w:val="22"/>
        </w:rPr>
      </w:pPr>
      <w:r w:rsidRPr="00FE24C0">
        <w:rPr>
          <w:b/>
          <w:i/>
          <w:szCs w:val="22"/>
        </w:rPr>
        <w:lastRenderedPageBreak/>
        <w:t>The alternative of offering micro-level or individual livestock producer voluntary pasture insurance was not considered technically or operationally feasible under the start-up phase of any new NDVI index insurance program in SWBA</w:t>
      </w:r>
      <w:r w:rsidRPr="00FE24C0">
        <w:rPr>
          <w:szCs w:val="22"/>
        </w:rPr>
        <w:t>. With the current low spatial resolution of the available satellite imagery (</w:t>
      </w:r>
      <w:r w:rsidR="00C905D5" w:rsidRPr="00FE24C0">
        <w:rPr>
          <w:szCs w:val="22"/>
        </w:rPr>
        <w:t xml:space="preserve">pixel size of 5 km x 5 km or </w:t>
      </w:r>
      <w:r w:rsidRPr="00FE24C0">
        <w:rPr>
          <w:szCs w:val="22"/>
        </w:rPr>
        <w:t xml:space="preserve">2,500 Ha) it is not feasible to identify individual livestock producer’s pasture fields or holdings, and </w:t>
      </w:r>
      <w:r w:rsidRPr="00FE24C0">
        <w:t>their</w:t>
      </w:r>
      <w:r w:rsidRPr="00FE24C0">
        <w:rPr>
          <w:szCs w:val="22"/>
        </w:rPr>
        <w:t xml:space="preserve"> often very different </w:t>
      </w:r>
      <w:r w:rsidR="00865CC5" w:rsidRPr="00865CC5">
        <w:rPr>
          <w:szCs w:val="22"/>
          <w:lang w:val="en-GB"/>
        </w:rPr>
        <w:t>forage</w:t>
      </w:r>
      <w:r w:rsidR="00D53C78" w:rsidRPr="00FE24C0">
        <w:rPr>
          <w:szCs w:val="22"/>
        </w:rPr>
        <w:t xml:space="preserve"> </w:t>
      </w:r>
      <w:r w:rsidRPr="00FE24C0">
        <w:rPr>
          <w:szCs w:val="22"/>
        </w:rPr>
        <w:t>management practices, in order to offer individual farmer insurance. An additional drawback</w:t>
      </w:r>
      <w:r w:rsidR="00D53C78">
        <w:rPr>
          <w:szCs w:val="22"/>
        </w:rPr>
        <w:t xml:space="preserve"> for the implementation of </w:t>
      </w:r>
      <w:r w:rsidR="00F32D9C">
        <w:rPr>
          <w:szCs w:val="22"/>
        </w:rPr>
        <w:t xml:space="preserve">a </w:t>
      </w:r>
      <w:r w:rsidR="00D53C78">
        <w:rPr>
          <w:szCs w:val="22"/>
        </w:rPr>
        <w:t>micro-level NDVI insurance program</w:t>
      </w:r>
      <w:r w:rsidRPr="00FE24C0">
        <w:rPr>
          <w:szCs w:val="22"/>
        </w:rPr>
        <w:t xml:space="preserve"> is that under an individual farmer scheme with such </w:t>
      </w:r>
      <w:r w:rsidR="00865CC5">
        <w:rPr>
          <w:szCs w:val="22"/>
        </w:rPr>
        <w:t xml:space="preserve">a low </w:t>
      </w:r>
      <w:r w:rsidRPr="00FE24C0">
        <w:rPr>
          <w:szCs w:val="22"/>
        </w:rPr>
        <w:t xml:space="preserve">spatial resolution there is a potential for very high basis risk namely, that the difference between the pasture quantity and quality as </w:t>
      </w:r>
      <w:r w:rsidRPr="00FE24C0">
        <w:t>determined</w:t>
      </w:r>
      <w:r w:rsidRPr="00FE24C0">
        <w:rPr>
          <w:szCs w:val="22"/>
        </w:rPr>
        <w:t xml:space="preserve"> by the NDVI index for that pixel and the actual pasture quantity and quality in individual livestock producer’s fields may be so high as to invalidate an individual cover.</w:t>
      </w:r>
    </w:p>
    <w:p w:rsidR="00C64A37" w:rsidRPr="00FE24C0" w:rsidRDefault="00C64A37" w:rsidP="00C64A37">
      <w:pPr>
        <w:pStyle w:val="WB"/>
        <w:numPr>
          <w:ilvl w:val="0"/>
          <w:numId w:val="0"/>
        </w:numPr>
        <w:rPr>
          <w:sz w:val="24"/>
          <w:szCs w:val="24"/>
        </w:rPr>
      </w:pPr>
      <w:r w:rsidRPr="00FE24C0">
        <w:rPr>
          <w:b/>
          <w:sz w:val="24"/>
          <w:szCs w:val="24"/>
        </w:rPr>
        <w:t xml:space="preserve">NDVI Data-base construction and definition of Pasture and grazing areas </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In Argentina ORA-MAGyP contracted a local remote sending specialist to generate a long-term remote sensing NDVI data-base and digitized pasture maps at a spatial resolution of 2,500 Ha for the 12 </w:t>
      </w:r>
      <w:r w:rsidR="00865CC5">
        <w:rPr>
          <w:b/>
          <w:i/>
          <w:szCs w:val="22"/>
          <w:lang w:eastAsia="es-NI"/>
        </w:rPr>
        <w:t>Departments</w:t>
      </w:r>
      <w:r w:rsidRPr="00FE24C0">
        <w:rPr>
          <w:b/>
          <w:i/>
          <w:szCs w:val="22"/>
          <w:lang w:eastAsia="es-NI"/>
        </w:rPr>
        <w:t xml:space="preserve"> of SWBA</w:t>
      </w:r>
      <w:r w:rsidRPr="00FE24C0">
        <w:rPr>
          <w:szCs w:val="22"/>
          <w:lang w:eastAsia="es-NI"/>
        </w:rPr>
        <w:t xml:space="preserve">. In 2010, ORA-MAGyP contracted the </w:t>
      </w:r>
      <w:r w:rsidRPr="00FE24C0">
        <w:rPr>
          <w:szCs w:val="22"/>
        </w:rPr>
        <w:t>Remote Sensing and Regional Analysis Laboratory, Faculty of Agronomy, University of Buenos Aires</w:t>
      </w:r>
      <w:r w:rsidRPr="00FE24C0">
        <w:rPr>
          <w:szCs w:val="22"/>
          <w:lang w:eastAsia="es-NI"/>
        </w:rPr>
        <w:t xml:space="preserve"> (LART-FAUBA) to generate the NDVI database for SWBA.  The development of this NDVI database involved combining NOAA monthly imagery from 1981 to 1999 at a resolution of 5 km x 5 km (2,500 hectares) grids (or pixels) and MODIS 1</w:t>
      </w:r>
      <w:r w:rsidR="00C905D5" w:rsidRPr="00FE24C0">
        <w:rPr>
          <w:szCs w:val="22"/>
          <w:lang w:eastAsia="es-NI"/>
        </w:rPr>
        <w:t>6</w:t>
      </w:r>
      <w:r w:rsidRPr="00FE24C0">
        <w:rPr>
          <w:szCs w:val="22"/>
          <w:lang w:eastAsia="es-NI"/>
        </w:rPr>
        <w:t>-daily imagery from 2000 to 2009 at a resolution of 250 meters x 250 meters (</w:t>
      </w:r>
      <w:r w:rsidR="00C905D5" w:rsidRPr="00FE24C0">
        <w:rPr>
          <w:szCs w:val="22"/>
          <w:lang w:eastAsia="es-NI"/>
        </w:rPr>
        <w:t>6.25</w:t>
      </w:r>
      <w:r w:rsidRPr="00FE24C0">
        <w:rPr>
          <w:szCs w:val="22"/>
          <w:lang w:eastAsia="es-NI"/>
        </w:rPr>
        <w:t xml:space="preserve"> hectares).  The final spatial resolution of the combined 28-year NDVI data sets was 2,500 Ha per pixel with a monthly temporal resolution.  LART-FAUBA was also responsible for the mapping and classification of the vegetation cover and land use in each of the pixels and specifically for identifying and distinguishing areas of natural pasture and grazing from other types of land use and ground cover.  </w:t>
      </w:r>
      <w:r w:rsidRPr="00FE24C0">
        <w:rPr>
          <w:szCs w:val="22"/>
        </w:rPr>
        <w:t>For the purposes of the NDVI index insurance program a decision was made to classify a forage pixel as having 60% or more of its area allocated to natural pasture and grazing.</w:t>
      </w:r>
    </w:p>
    <w:p w:rsidR="00C64A37" w:rsidRPr="00FE24C0" w:rsidRDefault="00C64A37" w:rsidP="00C64A37">
      <w:pPr>
        <w:pStyle w:val="WB"/>
        <w:numPr>
          <w:ilvl w:val="0"/>
          <w:numId w:val="0"/>
        </w:numPr>
        <w:rPr>
          <w:szCs w:val="22"/>
        </w:rPr>
      </w:pPr>
      <w:r w:rsidRPr="00FE24C0">
        <w:rPr>
          <w:b/>
          <w:sz w:val="24"/>
          <w:szCs w:val="24"/>
        </w:rPr>
        <w:t>NDVI Pasture Insurance in SWBA: Technical Contract Design and Rating</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Under this study an excel-based NDVI contract design and rating tool was developed by the World Bank’s actuary.  </w:t>
      </w:r>
      <w:r w:rsidRPr="00FE24C0">
        <w:rPr>
          <w:szCs w:val="22"/>
          <w:lang w:eastAsia="es-NI"/>
        </w:rPr>
        <w:t xml:space="preserve">The excel rating tool was designed to enable the local insurers and other key stakeholders in Government and in the livestock industry in SWBA to estimate the pure rates and technical premium rates corresponding to a series of contract design options and parameters.  This NDVI rating model is extremely flexible allowing users to select the Insured </w:t>
      </w:r>
      <w:r w:rsidR="00865CC5">
        <w:rPr>
          <w:szCs w:val="22"/>
          <w:lang w:eastAsia="es-NI"/>
        </w:rPr>
        <w:t>Departments (</w:t>
      </w:r>
      <w:r w:rsidR="001D6076" w:rsidRPr="001D6076">
        <w:rPr>
          <w:i/>
          <w:szCs w:val="22"/>
          <w:lang w:eastAsia="es-NI"/>
        </w:rPr>
        <w:t>Partidos</w:t>
      </w:r>
      <w:r w:rsidR="00865CC5">
        <w:rPr>
          <w:szCs w:val="22"/>
          <w:lang w:eastAsia="es-NI"/>
        </w:rPr>
        <w:t xml:space="preserve">) and </w:t>
      </w:r>
      <w:r w:rsidR="006B767A">
        <w:rPr>
          <w:szCs w:val="22"/>
          <w:lang w:eastAsia="es-NI"/>
        </w:rPr>
        <w:t>Counties (</w:t>
      </w:r>
      <w:r w:rsidR="001D6076" w:rsidRPr="001D6076">
        <w:rPr>
          <w:i/>
          <w:szCs w:val="22"/>
          <w:lang w:eastAsia="es-NI"/>
        </w:rPr>
        <w:t>Cuartels</w:t>
      </w:r>
      <w:r w:rsidR="006B767A">
        <w:rPr>
          <w:szCs w:val="22"/>
          <w:lang w:eastAsia="es-NI"/>
        </w:rPr>
        <w:t>)</w:t>
      </w:r>
      <w:r w:rsidRPr="00FE24C0">
        <w:rPr>
          <w:szCs w:val="22"/>
          <w:lang w:eastAsia="es-NI"/>
        </w:rPr>
        <w:t xml:space="preserve"> they wish to insure, the classes of insured cattle, the basis of valuation and sum insured and the cover period (spring cover only, autumn cover only or combined spring and autumn cover) as well as to change the contract parameters including the NDVI threshold value or trigger which opens the policy for a payout, the exit trigger and the incremental payouts. A Manual of Instructions was also prepared to accompany the NDVI rating tool.</w:t>
      </w:r>
      <w:r w:rsidRPr="00FE24C0">
        <w:rPr>
          <w:b/>
          <w:i/>
          <w:szCs w:val="22"/>
          <w:lang w:eastAsia="es-NI"/>
        </w:rPr>
        <w:t xml:space="preserve"> </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The definition of the Insured Unit for this NDVI insurance program was based on the Cuartel </w:t>
      </w:r>
      <w:r w:rsidR="001D6076" w:rsidRPr="001D6076">
        <w:rPr>
          <w:szCs w:val="22"/>
          <w:lang w:eastAsia="es-NI"/>
        </w:rPr>
        <w:t>(</w:t>
      </w:r>
      <w:r w:rsidRPr="006B767A">
        <w:rPr>
          <w:b/>
          <w:i/>
          <w:szCs w:val="22"/>
          <w:lang w:eastAsia="es-NI"/>
        </w:rPr>
        <w:t>equal to a county</w:t>
      </w:r>
      <w:r w:rsidR="00D04712" w:rsidRPr="006B767A">
        <w:rPr>
          <w:b/>
          <w:i/>
          <w:szCs w:val="22"/>
          <w:lang w:eastAsia="es-NI"/>
        </w:rPr>
        <w:t xml:space="preserve">, of which there are </w:t>
      </w:r>
      <w:r w:rsidR="006B767A" w:rsidRPr="006B767A">
        <w:rPr>
          <w:b/>
          <w:i/>
          <w:szCs w:val="22"/>
          <w:lang w:eastAsia="es-NI"/>
        </w:rPr>
        <w:t xml:space="preserve">117 </w:t>
      </w:r>
      <w:r w:rsidR="001D6076" w:rsidRPr="001D6076">
        <w:rPr>
          <w:b/>
          <w:i/>
          <w:szCs w:val="22"/>
          <w:lang w:eastAsia="es-NI"/>
        </w:rPr>
        <w:t xml:space="preserve">in </w:t>
      </w:r>
      <w:r w:rsidR="00D04712" w:rsidRPr="006B767A">
        <w:rPr>
          <w:b/>
          <w:i/>
          <w:szCs w:val="22"/>
          <w:lang w:eastAsia="es-NI"/>
        </w:rPr>
        <w:t>SWBA</w:t>
      </w:r>
      <w:r w:rsidRPr="006B767A">
        <w:rPr>
          <w:b/>
          <w:i/>
          <w:szCs w:val="22"/>
          <w:lang w:eastAsia="es-NI"/>
        </w:rPr>
        <w:t>).</w:t>
      </w:r>
      <w:r w:rsidRPr="00FE24C0">
        <w:rPr>
          <w:b/>
          <w:i/>
          <w:szCs w:val="22"/>
          <w:lang w:eastAsia="es-NI"/>
        </w:rPr>
        <w:t xml:space="preserve"> </w:t>
      </w:r>
      <w:r w:rsidRPr="00FE24C0">
        <w:rPr>
          <w:szCs w:val="22"/>
          <w:lang w:eastAsia="es-NI"/>
        </w:rPr>
        <w:t xml:space="preserve">It was not deemed feasible to operate an NDVI insurance program in SWBA with the individual pixel as the Insured Unit given the very large number of pixels and the complications of (i) trying to establish a system of </w:t>
      </w:r>
      <w:r w:rsidRPr="00FE24C0">
        <w:t>identifying</w:t>
      </w:r>
      <w:r w:rsidRPr="00FE24C0">
        <w:rPr>
          <w:szCs w:val="22"/>
          <w:lang w:eastAsia="es-NI"/>
        </w:rPr>
        <w:t xml:space="preserve"> and allocating livestock producers and their animals to these very small grids and (ii) the issue of basis risk of operating at this scale and (iii) the potentially high administrative costs of managing triggered payouts in the very large number of about 1,500 forage resource pixels.</w:t>
      </w:r>
      <w:r w:rsidR="006B767A">
        <w:rPr>
          <w:szCs w:val="22"/>
          <w:lang w:eastAsia="es-NI"/>
        </w:rPr>
        <w:t xml:space="preserve"> The other reason for choosing the Cuartel as the Insured Unit is that this is the smallest </w:t>
      </w:r>
      <w:r w:rsidR="006B767A">
        <w:rPr>
          <w:szCs w:val="22"/>
          <w:lang w:eastAsia="es-NI"/>
        </w:rPr>
        <w:lastRenderedPageBreak/>
        <w:t>administrative area recognized in Argentina and in most cases this represents a relatively homogeneous risk zone for the operation of the NDVI-pasture insurance program.</w:t>
      </w:r>
    </w:p>
    <w:p w:rsidR="00C64A37" w:rsidRPr="00FE24C0" w:rsidRDefault="00C64A37" w:rsidP="00593B59">
      <w:pPr>
        <w:pStyle w:val="WB"/>
        <w:numPr>
          <w:ilvl w:val="0"/>
          <w:numId w:val="16"/>
        </w:numPr>
        <w:tabs>
          <w:tab w:val="left" w:pos="426"/>
        </w:tabs>
        <w:ind w:left="0" w:firstLine="0"/>
        <w:rPr>
          <w:szCs w:val="22"/>
        </w:rPr>
      </w:pPr>
      <w:r w:rsidRPr="00FE24C0">
        <w:rPr>
          <w:b/>
          <w:i/>
          <w:szCs w:val="22"/>
        </w:rPr>
        <w:t>On the basis of discussions with the livestock industry, two cover periods were selected for the NDVI pasture Index insurance program namely, September to November and March to May</w:t>
      </w:r>
      <w:r w:rsidRPr="00FE24C0">
        <w:rPr>
          <w:szCs w:val="22"/>
        </w:rPr>
        <w:t xml:space="preserve">. During the conduct of the study the cover period was refined on the basis of discussions with local livestock technicians and beef cattle breeders in SWBA.  The two coverage periods were timed to coincide with peak periods of rainfall and pasture production in the region namely in spring (September to November) and again in autumn (March to May).  These cover periods also coincide with critical periods on the beef </w:t>
      </w:r>
      <w:r w:rsidRPr="00FE24C0">
        <w:t>cattle</w:t>
      </w:r>
      <w:r w:rsidRPr="00FE24C0">
        <w:rPr>
          <w:szCs w:val="22"/>
        </w:rPr>
        <w:t xml:space="preserve"> rearing systems: calving occurs in early spring following which it is important that the cows receive adequate nutrition before being service</w:t>
      </w:r>
      <w:r w:rsidR="00D04712">
        <w:rPr>
          <w:szCs w:val="22"/>
        </w:rPr>
        <w:t>d</w:t>
      </w:r>
      <w:r w:rsidRPr="00FE24C0">
        <w:rPr>
          <w:szCs w:val="22"/>
        </w:rPr>
        <w:t xml:space="preserve"> in November; in autumn following weaning the cows must again receive adequate nutrition before they enter the winter period.  Droughts in either of these cover periods can impact very severely on the cow-calf cattle production systems in SWBA.</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Under the proposed NDVI index insurance program, </w:t>
      </w:r>
      <w:r w:rsidR="00B04FA2">
        <w:rPr>
          <w:b/>
          <w:i/>
          <w:szCs w:val="22"/>
          <w:lang w:eastAsia="es-NI"/>
        </w:rPr>
        <w:t xml:space="preserve">cattle producers, MAA and MAGyP </w:t>
      </w:r>
      <w:r w:rsidRPr="00FE24C0">
        <w:rPr>
          <w:b/>
          <w:i/>
          <w:szCs w:val="22"/>
          <w:lang w:eastAsia="es-NI"/>
        </w:rPr>
        <w:t>agreed that the primary objective of the insurance program should be to protect the breeding animals (cows and heifers) in the event of severe drought induced pasture and fodder shortages</w:t>
      </w:r>
      <w:r w:rsidRPr="00FE24C0">
        <w:rPr>
          <w:szCs w:val="22"/>
          <w:lang w:eastAsia="es-NI"/>
        </w:rPr>
        <w:t xml:space="preserve">. On the basis of the 2011 </w:t>
      </w:r>
      <w:r w:rsidRPr="00FE24C0">
        <w:rPr>
          <w:szCs w:val="22"/>
        </w:rPr>
        <w:t>National Service for Animal Health (</w:t>
      </w:r>
      <w:r w:rsidRPr="00FE24C0">
        <w:t>SENASA</w:t>
      </w:r>
      <w:r w:rsidRPr="00FE24C0">
        <w:rPr>
          <w:szCs w:val="22"/>
          <w:lang w:eastAsia="es-NI"/>
        </w:rPr>
        <w:t>) figures this would imply up to a maximum of about 0.85 million insured cows and a further 0.33 million insured heifers.  The rationale of the livestock industry for insuring cows and heifers only is that in periods of severe fodder scarcity and when it is necessary to reduce stocking densities, it is essential to maintain the breeding herd rather than lower value calves and bullocks and which are much cheaper and easier to replace than the breeding stock (cows and heifers). By maintaining the breeding stock, livestock producers are able to recover much more quickly after the end of a severe drought.</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The basis of valuation and the sum insured was determined according to the nutritional requirements of the insured cattle (cows and heifers) during the insurance cover period. </w:t>
      </w:r>
      <w:r w:rsidRPr="00FE24C0">
        <w:rPr>
          <w:szCs w:val="22"/>
          <w:lang w:eastAsia="es-NI"/>
        </w:rPr>
        <w:t>The sum insured was based on the daily and monthly nutritional requirements of breeding cows expressed in terms of Cow Equivalents (EV) published by the Livestock Department (MAGyP).  For the 6-month insurance cover period, the total cost of providing supplementary feed was estimated at AR$ 674 per breeding cow and slightly lower at AR$ 523 per heifer</w:t>
      </w:r>
      <w:r w:rsidR="00D8462E">
        <w:rPr>
          <w:rStyle w:val="Refdenotaalpie"/>
          <w:szCs w:val="22"/>
          <w:lang w:eastAsia="es-NI"/>
        </w:rPr>
        <w:footnoteReference w:id="1"/>
      </w:r>
      <w:r w:rsidRPr="00FE24C0">
        <w:rPr>
          <w:szCs w:val="22"/>
          <w:lang w:eastAsia="es-NI"/>
        </w:rPr>
        <w:t>.</w:t>
      </w:r>
      <w:r w:rsidR="002D5B5F">
        <w:rPr>
          <w:szCs w:val="22"/>
          <w:lang w:eastAsia="es-NI"/>
        </w:rPr>
        <w:t xml:space="preserve"> </w:t>
      </w:r>
      <w:r w:rsidR="00DA2D1E">
        <w:rPr>
          <w:szCs w:val="22"/>
          <w:lang w:eastAsia="es-NI"/>
        </w:rPr>
        <w:t xml:space="preserve">It is not, however, the purpose of this NDVI insurance program to replace sound pasture grazing and fodder management practices by a cover which will meet the full nutrirional requirements of the insured cattle. For this reason it is recommended that the NDVI insurance program should not insure more than 50% of the full nutritional requirements of the cattle giving a sum insured value of AR$ 337 per cow and AR$ 261 per heifer for the 6 month cover period.  </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The total sum insured for the Macro-level l NDVI insurance program for breeding cattle and heifers in SWBA for a 6-month cover period was estimated at about AR$ 344 million.</w:t>
      </w:r>
      <w:r w:rsidRPr="00FE24C0">
        <w:rPr>
          <w:szCs w:val="22"/>
          <w:lang w:eastAsia="es-NI"/>
        </w:rPr>
        <w:t xml:space="preserve"> The total sum insured was calculated on the basis of the number of insurable cattle (cows and heifers) in each Insured Unit (Cuartel) valued according to the monthly </w:t>
      </w:r>
      <w:r w:rsidRPr="00FE24C0">
        <w:t>sum</w:t>
      </w:r>
      <w:r w:rsidRPr="00FE24C0">
        <w:rPr>
          <w:szCs w:val="22"/>
          <w:lang w:eastAsia="es-NI"/>
        </w:rPr>
        <w:t xml:space="preserve"> insured</w:t>
      </w:r>
      <w:r w:rsidR="002D5B5F">
        <w:rPr>
          <w:szCs w:val="22"/>
          <w:lang w:eastAsia="es-NI"/>
        </w:rPr>
        <w:t xml:space="preserve"> of 50% </w:t>
      </w:r>
      <w:r w:rsidR="002D5B5F">
        <w:rPr>
          <w:szCs w:val="22"/>
          <w:lang w:eastAsia="es-NI"/>
        </w:rPr>
        <w:lastRenderedPageBreak/>
        <w:t>of the nutritional requirements for cows and heifers for the 6-month cover period from Septemer to November and March to May</w:t>
      </w:r>
      <w:r w:rsidRPr="00FE24C0">
        <w:rPr>
          <w:szCs w:val="22"/>
          <w:lang w:eastAsia="es-NI"/>
        </w:rPr>
        <w:t>.</w:t>
      </w:r>
    </w:p>
    <w:p w:rsidR="00C64A37" w:rsidRPr="00FE24C0" w:rsidRDefault="00C64A37" w:rsidP="00593B59">
      <w:pPr>
        <w:pStyle w:val="WB"/>
        <w:numPr>
          <w:ilvl w:val="0"/>
          <w:numId w:val="16"/>
        </w:numPr>
        <w:tabs>
          <w:tab w:val="left" w:pos="426"/>
        </w:tabs>
        <w:ind w:left="0" w:firstLine="0"/>
        <w:rPr>
          <w:szCs w:val="22"/>
        </w:rPr>
      </w:pPr>
      <w:r w:rsidRPr="00FE24C0">
        <w:rPr>
          <w:b/>
          <w:i/>
          <w:szCs w:val="22"/>
          <w:lang w:eastAsia="es-NI"/>
        </w:rPr>
        <w:t xml:space="preserve">The indemnity or payout system </w:t>
      </w:r>
      <w:r w:rsidR="001A3255" w:rsidRPr="00FE24C0">
        <w:rPr>
          <w:b/>
          <w:i/>
          <w:szCs w:val="22"/>
          <w:lang w:eastAsia="es-NI"/>
        </w:rPr>
        <w:t>for</w:t>
      </w:r>
      <w:r w:rsidRPr="00FE24C0">
        <w:rPr>
          <w:b/>
          <w:i/>
          <w:szCs w:val="22"/>
          <w:lang w:eastAsia="es-NI"/>
        </w:rPr>
        <w:t xml:space="preserve"> </w:t>
      </w:r>
      <w:r w:rsidR="001A3255" w:rsidRPr="00FE24C0">
        <w:rPr>
          <w:b/>
          <w:i/>
          <w:szCs w:val="22"/>
          <w:lang w:eastAsia="es-NI"/>
        </w:rPr>
        <w:t>the</w:t>
      </w:r>
      <w:r w:rsidRPr="00FE24C0">
        <w:rPr>
          <w:b/>
          <w:i/>
          <w:szCs w:val="22"/>
          <w:lang w:eastAsia="es-NI"/>
        </w:rPr>
        <w:t xml:space="preserve"> pasture </w:t>
      </w:r>
      <w:r w:rsidR="005D3FA9" w:rsidRPr="00FE24C0">
        <w:rPr>
          <w:b/>
          <w:i/>
          <w:szCs w:val="22"/>
          <w:lang w:eastAsia="es-NI"/>
        </w:rPr>
        <w:t xml:space="preserve">index insurance </w:t>
      </w:r>
      <w:r w:rsidR="001A3255" w:rsidRPr="00FE24C0">
        <w:rPr>
          <w:b/>
          <w:i/>
          <w:szCs w:val="22"/>
          <w:lang w:eastAsia="es-NI"/>
        </w:rPr>
        <w:t>program</w:t>
      </w:r>
      <w:r w:rsidRPr="00FE24C0">
        <w:rPr>
          <w:b/>
          <w:i/>
          <w:szCs w:val="22"/>
          <w:lang w:eastAsia="es-NI"/>
        </w:rPr>
        <w:t xml:space="preserve"> is based on the deviation of the actual NDVI value against the normal average </w:t>
      </w:r>
      <w:r w:rsidR="001A3255" w:rsidRPr="00FE24C0">
        <w:rPr>
          <w:b/>
          <w:i/>
          <w:szCs w:val="22"/>
          <w:lang w:eastAsia="es-NI"/>
        </w:rPr>
        <w:t xml:space="preserve">NDVI value </w:t>
      </w:r>
      <w:r w:rsidRPr="00FE24C0">
        <w:rPr>
          <w:b/>
          <w:i/>
          <w:szCs w:val="22"/>
          <w:lang w:eastAsia="es-NI"/>
        </w:rPr>
        <w:t xml:space="preserve">during a defined time period.  </w:t>
      </w:r>
      <w:r w:rsidRPr="00FE24C0">
        <w:rPr>
          <w:szCs w:val="22"/>
          <w:lang w:eastAsia="es-NI"/>
        </w:rPr>
        <w:t xml:space="preserve">It is very important in setting the NDVI indemnity parameters to reflect as closely as possible the impact of the insured event (e.g. drought) on the quality of pasture production and grazing in each Insured Unit and also to take into account the need by livestock producers for timely payouts.  On the basis of discussions with the industry it was agreed that the policy would respond to loss on a </w:t>
      </w:r>
      <w:r w:rsidR="001D6076" w:rsidRPr="001D6076">
        <w:rPr>
          <w:szCs w:val="22"/>
          <w:u w:val="single"/>
          <w:lang w:eastAsia="es-NI"/>
        </w:rPr>
        <w:t>monthly basis</w:t>
      </w:r>
      <w:r w:rsidRPr="00FE24C0">
        <w:rPr>
          <w:szCs w:val="22"/>
          <w:lang w:eastAsia="es-NI"/>
        </w:rPr>
        <w:t xml:space="preserve"> or in other words that if the actual average NDVI value in any month falls below the threshold trigger</w:t>
      </w:r>
      <w:r w:rsidR="00D04712">
        <w:rPr>
          <w:szCs w:val="22"/>
          <w:lang w:eastAsia="es-NI"/>
        </w:rPr>
        <w:t xml:space="preserve"> (see chapter 5)</w:t>
      </w:r>
      <w:r w:rsidRPr="00FE24C0">
        <w:rPr>
          <w:szCs w:val="22"/>
          <w:lang w:eastAsia="es-NI"/>
        </w:rPr>
        <w:t xml:space="preserve">, </w:t>
      </w:r>
      <w:r w:rsidRPr="00FE24C0">
        <w:t>this</w:t>
      </w:r>
      <w:r w:rsidRPr="00FE24C0">
        <w:rPr>
          <w:szCs w:val="22"/>
          <w:lang w:eastAsia="es-NI"/>
        </w:rPr>
        <w:t xml:space="preserve"> would result in a payout being made to all livestock producers in the affected Cuartel(s) in the following month. The NDVI threshold triggers opening the policy for a payout were set to reflect as closely as possible the extreme drought years identified by the livestock industry over the 28-year data series. The maximum payout anyone month was set in accordance with the monthly sums insured for each type of insured cattle, cows and heifers. The NDVI rating model is programmed to permit the user to adjust the threshold triggers according to a specified monthly payout frequency (e.g. 1 in 10 years; 1 in 15 years) and also to adjust the exit triggers and incremental payouts. Finally a qualifying franchise was built into the model to avoid very small payouts of a few pesos being made and which would cost more to settle to the individual livestock producers. The index parameters are illustrated for one Cuartel (Insured Unit) in Figure 1 below.  </w:t>
      </w:r>
    </w:p>
    <w:p w:rsidR="00C64A37" w:rsidRPr="00FE24C0" w:rsidRDefault="00C64A37" w:rsidP="00C64A37">
      <w:pPr>
        <w:pStyle w:val="HeadFiguresTablesBoxes"/>
      </w:pPr>
      <w:proofErr w:type="gramStart"/>
      <w:r w:rsidRPr="00FE24C0">
        <w:t>Figure 1.</w:t>
      </w:r>
      <w:proofErr w:type="gramEnd"/>
      <w:r w:rsidRPr="00FE24C0">
        <w:t xml:space="preserve"> Example of the NDVI Pasture Index Payout structure for Cuartel 22, Bahia Blanca Department for the month of October</w:t>
      </w:r>
    </w:p>
    <w:p w:rsidR="00C64A37" w:rsidRPr="00FE24C0" w:rsidRDefault="00C64A37" w:rsidP="00C64A37">
      <w:pPr>
        <w:spacing w:after="120"/>
        <w:outlineLvl w:val="1"/>
      </w:pPr>
      <w:r w:rsidRPr="00FE24C0">
        <w:rPr>
          <w:noProof/>
          <w:lang w:val="es-AR" w:eastAsia="es-AR"/>
        </w:rPr>
        <w:drawing>
          <wp:inline distT="0" distB="0" distL="0" distR="0">
            <wp:extent cx="5490210" cy="2851970"/>
            <wp:effectExtent l="19050" t="0" r="0" b="0"/>
            <wp:docPr id="1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490210" cy="2851970"/>
                    </a:xfrm>
                    <a:prstGeom prst="rect">
                      <a:avLst/>
                    </a:prstGeom>
                    <a:noFill/>
                    <a:ln w="9525">
                      <a:noFill/>
                      <a:miter lim="800000"/>
                      <a:headEnd/>
                      <a:tailEnd/>
                    </a:ln>
                  </pic:spPr>
                </pic:pic>
              </a:graphicData>
            </a:graphic>
          </wp:inline>
        </w:drawing>
      </w:r>
    </w:p>
    <w:p w:rsidR="00C64A37" w:rsidRPr="00FE24C0" w:rsidRDefault="00C64A37" w:rsidP="00C64A37">
      <w:pPr>
        <w:pStyle w:val="WB"/>
        <w:numPr>
          <w:ilvl w:val="0"/>
          <w:numId w:val="0"/>
        </w:numPr>
        <w:spacing w:after="0"/>
        <w:rPr>
          <w:sz w:val="20"/>
        </w:rPr>
      </w:pPr>
      <w:r w:rsidRPr="00FE24C0">
        <w:rPr>
          <w:sz w:val="20"/>
        </w:rPr>
        <w:t>Source: Authors’ analysis, NDVI Rating Tool</w:t>
      </w:r>
    </w:p>
    <w:p w:rsidR="00C64A37" w:rsidRPr="00FE24C0" w:rsidRDefault="00C64A37" w:rsidP="00C64A37">
      <w:pPr>
        <w:pStyle w:val="WB"/>
        <w:numPr>
          <w:ilvl w:val="0"/>
          <w:numId w:val="0"/>
        </w:numPr>
        <w:rPr>
          <w:sz w:val="20"/>
        </w:rPr>
      </w:pPr>
      <w:r w:rsidRPr="00FE24C0">
        <w:rPr>
          <w:sz w:val="20"/>
        </w:rPr>
        <w:t>Notes: Cuartel Total Sum Insured = AR$ 1,032,499, Method = Normal, Franchise = 2% of Cuartel Total Sum Insured, Exit Trigger Deviation =1</w:t>
      </w:r>
    </w:p>
    <w:p w:rsidR="00547307" w:rsidRDefault="00C64A37" w:rsidP="00593B59">
      <w:pPr>
        <w:pStyle w:val="WB"/>
        <w:numPr>
          <w:ilvl w:val="0"/>
          <w:numId w:val="16"/>
        </w:numPr>
        <w:tabs>
          <w:tab w:val="left" w:pos="426"/>
        </w:tabs>
        <w:ind w:left="0" w:firstLine="0"/>
        <w:rPr>
          <w:szCs w:val="22"/>
        </w:rPr>
      </w:pPr>
      <w:r w:rsidRPr="00FE24C0">
        <w:rPr>
          <w:b/>
          <w:i/>
          <w:szCs w:val="22"/>
          <w:lang w:eastAsia="es-NI"/>
        </w:rPr>
        <w:t>The NDVI Rating Model is programmed to calculate pure loss cost rates, technical rates and indicative commercial premium rates for each Cuartel (Insured Unit)</w:t>
      </w:r>
      <w:r w:rsidRPr="00FE24C0">
        <w:rPr>
          <w:i/>
          <w:szCs w:val="22"/>
          <w:lang w:eastAsia="es-NI"/>
        </w:rPr>
        <w:t xml:space="preserve">. </w:t>
      </w:r>
      <w:r w:rsidRPr="00FE24C0">
        <w:rPr>
          <w:szCs w:val="22"/>
          <w:lang w:eastAsia="es-NI"/>
        </w:rPr>
        <w:t xml:space="preserve">The pure loss cost rates are calculated on a historical burning cost basis. Once the sum insured for each month of </w:t>
      </w:r>
      <w:r w:rsidR="002D5B5F">
        <w:rPr>
          <w:szCs w:val="22"/>
          <w:lang w:eastAsia="es-NI"/>
        </w:rPr>
        <w:t xml:space="preserve">the </w:t>
      </w:r>
      <w:r w:rsidRPr="00FE24C0">
        <w:rPr>
          <w:szCs w:val="22"/>
          <w:lang w:eastAsia="es-NI"/>
        </w:rPr>
        <w:lastRenderedPageBreak/>
        <w:t>cover</w:t>
      </w:r>
      <w:r w:rsidR="002D5B5F">
        <w:rPr>
          <w:szCs w:val="22"/>
          <w:lang w:eastAsia="es-NI"/>
        </w:rPr>
        <w:t xml:space="preserve"> period</w:t>
      </w:r>
      <w:r w:rsidRPr="00FE24C0">
        <w:rPr>
          <w:szCs w:val="22"/>
          <w:lang w:eastAsia="es-NI"/>
        </w:rPr>
        <w:t>, the recurrence period</w:t>
      </w:r>
      <w:r w:rsidR="0075713F">
        <w:rPr>
          <w:szCs w:val="22"/>
          <w:lang w:eastAsia="es-NI"/>
        </w:rPr>
        <w:t xml:space="preserve"> or payout frequency</w:t>
      </w:r>
      <w:r w:rsidRPr="00FE24C0">
        <w:rPr>
          <w:szCs w:val="22"/>
          <w:lang w:eastAsia="es-NI"/>
        </w:rPr>
        <w:t xml:space="preserve"> (which sets the Trigger Index of each cluster</w:t>
      </w:r>
      <w:r w:rsidR="002D5B5F">
        <w:rPr>
          <w:rStyle w:val="Refdenotaalpie"/>
          <w:szCs w:val="22"/>
          <w:lang w:eastAsia="es-NI"/>
        </w:rPr>
        <w:footnoteReference w:id="2"/>
      </w:r>
      <w:r w:rsidRPr="00FE24C0">
        <w:rPr>
          <w:szCs w:val="22"/>
          <w:lang w:eastAsia="es-NI"/>
        </w:rPr>
        <w:t xml:space="preserve"> for each month of coverage), and the parameter k (which determines the Exit Trigger of each cluster for each month of the cover period) have been set, the model </w:t>
      </w:r>
      <w:r w:rsidRPr="00FE24C0">
        <w:t>proceeds</w:t>
      </w:r>
      <w:r w:rsidRPr="00FE24C0">
        <w:rPr>
          <w:szCs w:val="22"/>
          <w:lang w:eastAsia="es-NI"/>
        </w:rPr>
        <w:t xml:space="preserve"> to calculate the pure loss cost (payout amount divided by sum insured) that would have occurred in each </w:t>
      </w:r>
      <w:r w:rsidRPr="00FE24C0">
        <w:t>month</w:t>
      </w:r>
      <w:r w:rsidRPr="00FE24C0">
        <w:rPr>
          <w:szCs w:val="22"/>
          <w:lang w:eastAsia="es-NI"/>
        </w:rPr>
        <w:t xml:space="preserve"> and in total for the 28 years of NDVI values analyzed in the database. The average loss cost rate for each Cuartel is calculated as the simple average of the 28-year loss costs.</w:t>
      </w:r>
      <w:r w:rsidRPr="00FE24C0">
        <w:rPr>
          <w:szCs w:val="22"/>
        </w:rPr>
        <w:t xml:space="preserve"> </w:t>
      </w:r>
      <w:r w:rsidR="0075713F">
        <w:rPr>
          <w:szCs w:val="22"/>
        </w:rPr>
        <w:t xml:space="preserve">The rating model is </w:t>
      </w:r>
      <w:r w:rsidR="00081809">
        <w:rPr>
          <w:szCs w:val="22"/>
        </w:rPr>
        <w:t xml:space="preserve">also </w:t>
      </w:r>
      <w:r w:rsidR="0075713F">
        <w:rPr>
          <w:szCs w:val="22"/>
        </w:rPr>
        <w:t xml:space="preserve">programmed to generate a security or catastrophe loading which is added to the pure loss cost to derive the technical premium rate </w:t>
      </w:r>
      <w:r w:rsidR="00081809">
        <w:rPr>
          <w:szCs w:val="22"/>
        </w:rPr>
        <w:t>for each Cuartel.</w:t>
      </w:r>
      <w:r w:rsidR="0075713F">
        <w:rPr>
          <w:szCs w:val="22"/>
        </w:rPr>
        <w:t xml:space="preserve"> </w:t>
      </w:r>
      <w:r w:rsidR="00081809">
        <w:rPr>
          <w:szCs w:val="22"/>
        </w:rPr>
        <w:t xml:space="preserve">Finally </w:t>
      </w:r>
      <w:r w:rsidR="00DE6159">
        <w:rPr>
          <w:szCs w:val="22"/>
        </w:rPr>
        <w:t xml:space="preserve">for illustrative purposes, </w:t>
      </w:r>
      <w:r w:rsidR="00081809">
        <w:rPr>
          <w:szCs w:val="22"/>
        </w:rPr>
        <w:t xml:space="preserve">indicative commercial premium rates are generated assuming loadings for acquisition costs, insurers administrative and operating costs and profit margin. </w:t>
      </w:r>
      <w:r w:rsidR="00B76DDA">
        <w:rPr>
          <w:szCs w:val="22"/>
        </w:rPr>
        <w:t xml:space="preserve">It is stressed that the commercial premiums presented in this report are illustrative and that final rating decisions will be made by local insurers in conjunction with their lead reinsurers. </w:t>
      </w:r>
      <w:r w:rsidR="00081809">
        <w:rPr>
          <w:szCs w:val="22"/>
        </w:rPr>
        <w:t xml:space="preserve">(See Chapter 5 for full details). </w:t>
      </w:r>
      <w:r w:rsidRPr="00FE24C0">
        <w:rPr>
          <w:szCs w:val="22"/>
        </w:rPr>
        <w:t xml:space="preserve">A summary of the average program pure rates, technical rates and </w:t>
      </w:r>
      <w:r w:rsidR="001A24FC" w:rsidRPr="00FE24C0">
        <w:rPr>
          <w:szCs w:val="22"/>
          <w:u w:val="single"/>
        </w:rPr>
        <w:t>indicative</w:t>
      </w:r>
      <w:r w:rsidRPr="00FE24C0">
        <w:rPr>
          <w:szCs w:val="22"/>
        </w:rPr>
        <w:t xml:space="preserve"> Commercial Premium rates are shown in Table 1 for different </w:t>
      </w:r>
      <w:r w:rsidR="001D6076" w:rsidRPr="001D6076">
        <w:rPr>
          <w:szCs w:val="22"/>
          <w:u w:val="single"/>
        </w:rPr>
        <w:t>monthly</w:t>
      </w:r>
      <w:r w:rsidR="00CB633D">
        <w:rPr>
          <w:szCs w:val="22"/>
        </w:rPr>
        <w:t xml:space="preserve"> </w:t>
      </w:r>
      <w:r w:rsidRPr="00FE24C0">
        <w:rPr>
          <w:szCs w:val="22"/>
        </w:rPr>
        <w:t xml:space="preserve">payout </w:t>
      </w:r>
      <w:r w:rsidR="00081809">
        <w:rPr>
          <w:szCs w:val="22"/>
        </w:rPr>
        <w:t>frequenc</w:t>
      </w:r>
      <w:r w:rsidR="003B0187">
        <w:rPr>
          <w:szCs w:val="22"/>
        </w:rPr>
        <w:t>ies</w:t>
      </w:r>
      <w:r w:rsidRPr="00FE24C0">
        <w:rPr>
          <w:szCs w:val="22"/>
        </w:rPr>
        <w:t xml:space="preserve"> of 1 in 7 years up to 1 in 15 years. </w:t>
      </w:r>
    </w:p>
    <w:p w:rsidR="00C64A37" w:rsidRPr="00FE24C0" w:rsidRDefault="00C64A37" w:rsidP="00593B59">
      <w:pPr>
        <w:pStyle w:val="WB"/>
        <w:numPr>
          <w:ilvl w:val="0"/>
          <w:numId w:val="16"/>
        </w:numPr>
        <w:tabs>
          <w:tab w:val="left" w:pos="426"/>
        </w:tabs>
        <w:ind w:left="0" w:firstLine="0"/>
        <w:rPr>
          <w:szCs w:val="22"/>
        </w:rPr>
      </w:pPr>
      <w:r w:rsidRPr="00FE24C0">
        <w:rPr>
          <w:szCs w:val="22"/>
        </w:rPr>
        <w:t xml:space="preserve"> </w:t>
      </w:r>
      <w:r w:rsidR="001D6076" w:rsidRPr="001D6076">
        <w:rPr>
          <w:b/>
          <w:i/>
          <w:szCs w:val="22"/>
        </w:rPr>
        <w:t>It is apparent that the financial payouts and therefore the pricing on this macro-level NDVI index policy are highly influenced by the payout frequency that is agreed by the Insurer and the Insured</w:t>
      </w:r>
      <w:r w:rsidR="00547307">
        <w:rPr>
          <w:szCs w:val="22"/>
        </w:rPr>
        <w:t xml:space="preserve">: with a one in 7 year payout frequency any month(s) in the cover period there is a much higher frequency of payouts and higher payouts per triggered event than for a 1 in 15 </w:t>
      </w:r>
      <w:proofErr w:type="gramStart"/>
      <w:r w:rsidR="00547307">
        <w:rPr>
          <w:szCs w:val="22"/>
        </w:rPr>
        <w:t>year  payout</w:t>
      </w:r>
      <w:proofErr w:type="gramEnd"/>
      <w:r w:rsidR="00547307">
        <w:rPr>
          <w:szCs w:val="22"/>
        </w:rPr>
        <w:t xml:space="preserve"> frequency.  Great caution, must, however, be exercised in finalizing the payout parameters on this product because of issues relating to </w:t>
      </w:r>
      <w:r w:rsidR="001D6076" w:rsidRPr="001D6076">
        <w:rPr>
          <w:b/>
          <w:szCs w:val="22"/>
        </w:rPr>
        <w:t>basis risk</w:t>
      </w:r>
      <w:r w:rsidR="00547307">
        <w:rPr>
          <w:b/>
          <w:szCs w:val="22"/>
        </w:rPr>
        <w:t xml:space="preserve"> </w:t>
      </w:r>
      <w:r w:rsidR="001D6076" w:rsidRPr="001D6076">
        <w:rPr>
          <w:szCs w:val="22"/>
        </w:rPr>
        <w:t>namely</w:t>
      </w:r>
      <w:r w:rsidR="00CA1672">
        <w:rPr>
          <w:szCs w:val="22"/>
        </w:rPr>
        <w:t>,</w:t>
      </w:r>
      <w:r w:rsidR="001D6076" w:rsidRPr="001D6076">
        <w:rPr>
          <w:szCs w:val="22"/>
        </w:rPr>
        <w:t xml:space="preserve"> the</w:t>
      </w:r>
      <w:r w:rsidR="00547307">
        <w:rPr>
          <w:szCs w:val="22"/>
        </w:rPr>
        <w:t xml:space="preserve"> difference between the payouts triggered by the NDVI-pasture index and the actual losses in pasture and grazing experienced on the ground</w:t>
      </w:r>
      <w:r w:rsidR="00002A3D">
        <w:rPr>
          <w:szCs w:val="22"/>
        </w:rPr>
        <w:t>.</w:t>
      </w:r>
      <w:r w:rsidR="00547307">
        <w:rPr>
          <w:szCs w:val="22"/>
        </w:rPr>
        <w:t xml:space="preserve"> While it might appear financially attractive to policy makers to purchase a</w:t>
      </w:r>
      <w:r w:rsidR="00CA1672">
        <w:rPr>
          <w:szCs w:val="22"/>
        </w:rPr>
        <w:t xml:space="preserve"> cheaper priced</w:t>
      </w:r>
      <w:r w:rsidR="00547307">
        <w:rPr>
          <w:szCs w:val="22"/>
        </w:rPr>
        <w:t xml:space="preserve"> NDVI cover</w:t>
      </w:r>
      <w:r w:rsidR="00CA1672">
        <w:rPr>
          <w:szCs w:val="22"/>
        </w:rPr>
        <w:t xml:space="preserve"> which only responds to catastr</w:t>
      </w:r>
      <w:r w:rsidR="00547307">
        <w:rPr>
          <w:szCs w:val="22"/>
        </w:rPr>
        <w:t>ophe</w:t>
      </w:r>
      <w:r w:rsidR="00CA1672">
        <w:rPr>
          <w:szCs w:val="22"/>
        </w:rPr>
        <w:t xml:space="preserve"> events 1 in every 15 years, this may exclude </w:t>
      </w:r>
      <w:r w:rsidR="00002A3D">
        <w:rPr>
          <w:szCs w:val="22"/>
        </w:rPr>
        <w:t>moderately severe</w:t>
      </w:r>
      <w:r w:rsidR="00CA1672">
        <w:rPr>
          <w:szCs w:val="22"/>
        </w:rPr>
        <w:t xml:space="preserve"> losses in pasture and grazing which are experienced by livestock producers in intervening years</w:t>
      </w:r>
      <w:r w:rsidR="00F43355">
        <w:rPr>
          <w:szCs w:val="22"/>
        </w:rPr>
        <w:t>, thereby invalidating the objective of the NDVI cover</w:t>
      </w:r>
      <w:r w:rsidR="00CA1672">
        <w:rPr>
          <w:szCs w:val="22"/>
        </w:rPr>
        <w:t>.</w:t>
      </w:r>
    </w:p>
    <w:p w:rsidR="00C64A37" w:rsidRPr="00FE24C0" w:rsidRDefault="00C64A37" w:rsidP="00C64A37">
      <w:pPr>
        <w:pStyle w:val="HeadFiguresTablesBoxes"/>
      </w:pPr>
      <w:proofErr w:type="gramStart"/>
      <w:r w:rsidRPr="00FE24C0">
        <w:t>Table 1.</w:t>
      </w:r>
      <w:proofErr w:type="gramEnd"/>
      <w:r w:rsidRPr="00FE24C0">
        <w:t xml:space="preserve"> SWBA NDVI Insurance Program: Average calculated Pure Loss Cost Rates, Technical Rates and Indicative Commercial Premium Rates*</w:t>
      </w:r>
    </w:p>
    <w:tbl>
      <w:tblPr>
        <w:tblW w:w="8227" w:type="dxa"/>
        <w:tblInd w:w="103" w:type="dxa"/>
        <w:tblLook w:val="04A0"/>
      </w:tblPr>
      <w:tblGrid>
        <w:gridCol w:w="1281"/>
        <w:gridCol w:w="959"/>
        <w:gridCol w:w="1300"/>
        <w:gridCol w:w="926"/>
        <w:gridCol w:w="1280"/>
        <w:gridCol w:w="1106"/>
        <w:gridCol w:w="1375"/>
      </w:tblGrid>
      <w:tr w:rsidR="00C64A37" w:rsidRPr="00FE24C0" w:rsidTr="001A3255">
        <w:trPr>
          <w:trHeight w:val="720"/>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Payout Frequency (Years)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Pure Risk Rate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Pure Risk Premium (AR$)</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Technical Rate (%</w:t>
            </w:r>
            <w:proofErr w:type="gramStart"/>
            <w:r w:rsidRPr="00FE24C0">
              <w:rPr>
                <w:rFonts w:eastAsia="Times New Roman"/>
                <w:color w:val="000000"/>
                <w:sz w:val="18"/>
                <w:szCs w:val="18"/>
                <w:lang w:eastAsia="en-GB"/>
              </w:rPr>
              <w:t>)</w:t>
            </w:r>
            <w:r w:rsidR="0075713F">
              <w:rPr>
                <w:rFonts w:eastAsia="Times New Roman"/>
                <w:color w:val="000000"/>
                <w:sz w:val="18"/>
                <w:szCs w:val="18"/>
                <w:lang w:eastAsia="en-GB"/>
              </w:rPr>
              <w:t>*</w:t>
            </w:r>
            <w:proofErr w:type="gramEnd"/>
            <w:r w:rsidR="0075713F">
              <w:rPr>
                <w:rFonts w:eastAsia="Times New Roman"/>
                <w:color w:val="000000"/>
                <w:sz w:val="18"/>
                <w:szCs w:val="18"/>
                <w:lang w:eastAsia="en-GB"/>
              </w:rPr>
              <w: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Technical Premium (AR$)</w:t>
            </w:r>
            <w:r w:rsidR="0075713F">
              <w:rPr>
                <w:rFonts w:eastAsia="Times New Roman"/>
                <w:color w:val="000000"/>
                <w:sz w:val="18"/>
                <w:szCs w:val="18"/>
                <w:lang w:eastAsia="en-GB"/>
              </w:rPr>
              <w: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Indic. Commercial Rate (%</w:t>
            </w:r>
            <w:proofErr w:type="gramStart"/>
            <w:r w:rsidRPr="00FE24C0">
              <w:rPr>
                <w:rFonts w:eastAsia="Times New Roman"/>
                <w:color w:val="000000"/>
                <w:sz w:val="18"/>
                <w:szCs w:val="18"/>
                <w:lang w:eastAsia="en-GB"/>
              </w:rPr>
              <w:t>)*</w:t>
            </w:r>
            <w:proofErr w:type="gramEnd"/>
            <w:r w:rsidR="0075713F">
              <w:rPr>
                <w:rFonts w:eastAsia="Times New Roman"/>
                <w:color w:val="000000"/>
                <w:sz w:val="18"/>
                <w:szCs w:val="18"/>
                <w:lang w:eastAsia="en-GB"/>
              </w:rPr>
              <w:t>*</w:t>
            </w:r>
            <w:r w:rsidRPr="00FE24C0">
              <w:rPr>
                <w:rFonts w:eastAsia="Times New Roman"/>
                <w:color w:val="000000"/>
                <w:sz w:val="18"/>
                <w:szCs w:val="18"/>
                <w:lang w:eastAsia="en-GB"/>
              </w:rPr>
              <w:t>*</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Indic. Commercial Premium (AR$)*</w:t>
            </w:r>
            <w:r w:rsidR="0075713F">
              <w:rPr>
                <w:rFonts w:eastAsia="Times New Roman"/>
                <w:color w:val="000000"/>
                <w:sz w:val="18"/>
                <w:szCs w:val="18"/>
                <w:lang w:eastAsia="en-GB"/>
              </w:rPr>
              <w:t>*</w:t>
            </w:r>
            <w:r w:rsidRPr="00FE24C0">
              <w:rPr>
                <w:rFonts w:eastAsia="Times New Roman"/>
                <w:color w:val="000000"/>
                <w:sz w:val="18"/>
                <w:szCs w:val="18"/>
                <w:lang w:eastAsia="en-GB"/>
              </w:rPr>
              <w:t>*</w:t>
            </w:r>
          </w:p>
        </w:tc>
      </w:tr>
      <w:tr w:rsidR="00C64A37" w:rsidRPr="00FE24C0" w:rsidTr="001A3255">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1 in 7</w:t>
            </w:r>
          </w:p>
        </w:tc>
        <w:tc>
          <w:tcPr>
            <w:tcW w:w="959"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7.42%</w:t>
            </w:r>
          </w:p>
        </w:tc>
        <w:tc>
          <w:tcPr>
            <w:tcW w:w="1300"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24,815,335</w:t>
            </w:r>
          </w:p>
        </w:tc>
        <w:tc>
          <w:tcPr>
            <w:tcW w:w="926"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7A7323">
            <w:pPr>
              <w:spacing w:after="0"/>
              <w:jc w:val="right"/>
              <w:rPr>
                <w:rFonts w:eastAsia="Times New Roman"/>
                <w:color w:val="000000"/>
                <w:sz w:val="18"/>
                <w:szCs w:val="18"/>
                <w:lang w:eastAsia="en-GB"/>
              </w:rPr>
            </w:pPr>
            <w:r w:rsidRPr="00FE24C0">
              <w:rPr>
                <w:rFonts w:eastAsia="Times New Roman"/>
                <w:color w:val="000000"/>
                <w:sz w:val="18"/>
                <w:szCs w:val="18"/>
                <w:lang w:eastAsia="en-GB"/>
              </w:rPr>
              <w:t>11.</w:t>
            </w:r>
            <w:r w:rsidR="007A7323" w:rsidRPr="00FE24C0">
              <w:rPr>
                <w:rFonts w:eastAsia="Times New Roman"/>
                <w:color w:val="000000"/>
                <w:sz w:val="18"/>
                <w:szCs w:val="18"/>
                <w:lang w:eastAsia="en-GB"/>
              </w:rPr>
              <w:t>0</w:t>
            </w:r>
            <w:r w:rsidRPr="00FE24C0">
              <w:rPr>
                <w:rFonts w:eastAsia="Times New Roman"/>
                <w:color w:val="000000"/>
                <w:sz w:val="18"/>
                <w:szCs w:val="18"/>
                <w:lang w:eastAsia="en-GB"/>
              </w:rPr>
              <w:t>8%</w:t>
            </w:r>
          </w:p>
        </w:tc>
        <w:tc>
          <w:tcPr>
            <w:tcW w:w="1280" w:type="dxa"/>
            <w:tcBorders>
              <w:top w:val="nil"/>
              <w:left w:val="nil"/>
              <w:bottom w:val="single" w:sz="4" w:space="0" w:color="auto"/>
              <w:right w:val="single" w:sz="4" w:space="0" w:color="auto"/>
            </w:tcBorders>
            <w:shd w:val="clear" w:color="auto" w:fill="auto"/>
            <w:noWrap/>
            <w:vAlign w:val="bottom"/>
            <w:hideMark/>
          </w:tcPr>
          <w:p w:rsidR="00C64A37" w:rsidRPr="00FE24C0" w:rsidRDefault="007A7323"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 xml:space="preserve"> 37,055,461</w:t>
            </w:r>
          </w:p>
        </w:tc>
        <w:tc>
          <w:tcPr>
            <w:tcW w:w="1106" w:type="dxa"/>
            <w:tcBorders>
              <w:top w:val="nil"/>
              <w:left w:val="nil"/>
              <w:bottom w:val="single" w:sz="4" w:space="0" w:color="auto"/>
              <w:right w:val="single" w:sz="4" w:space="0" w:color="auto"/>
            </w:tcBorders>
            <w:shd w:val="clear" w:color="auto" w:fill="auto"/>
            <w:noWrap/>
            <w:vAlign w:val="bottom"/>
            <w:hideMark/>
          </w:tcPr>
          <w:p w:rsidR="00C64A37" w:rsidRPr="00FE24C0" w:rsidRDefault="007A7323"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13.85</w:t>
            </w:r>
            <w:r w:rsidR="00C64A37" w:rsidRPr="00FE24C0">
              <w:rPr>
                <w:rFonts w:eastAsia="Times New Roman"/>
                <w:color w:val="000000"/>
                <w:sz w:val="18"/>
                <w:szCs w:val="18"/>
                <w:lang w:eastAsia="en-GB"/>
              </w:rPr>
              <w:t>%</w:t>
            </w:r>
          </w:p>
        </w:tc>
        <w:tc>
          <w:tcPr>
            <w:tcW w:w="1375" w:type="dxa"/>
            <w:tcBorders>
              <w:top w:val="nil"/>
              <w:left w:val="nil"/>
              <w:bottom w:val="single" w:sz="4" w:space="0" w:color="auto"/>
              <w:right w:val="single" w:sz="4" w:space="0" w:color="auto"/>
            </w:tcBorders>
            <w:shd w:val="clear" w:color="auto" w:fill="auto"/>
            <w:noWrap/>
            <w:vAlign w:val="bottom"/>
            <w:hideMark/>
          </w:tcPr>
          <w:p w:rsidR="00C64A37" w:rsidRPr="00FE24C0" w:rsidRDefault="007A7323"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 xml:space="preserve"> 46,319,326</w:t>
            </w:r>
          </w:p>
        </w:tc>
      </w:tr>
      <w:tr w:rsidR="00C64A37" w:rsidRPr="00FE24C0" w:rsidTr="001A3255">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1 in 10</w:t>
            </w:r>
          </w:p>
        </w:tc>
        <w:tc>
          <w:tcPr>
            <w:tcW w:w="959"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4.99%</w:t>
            </w:r>
          </w:p>
        </w:tc>
        <w:tc>
          <w:tcPr>
            <w:tcW w:w="1300"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16,700,936</w:t>
            </w:r>
          </w:p>
        </w:tc>
        <w:tc>
          <w:tcPr>
            <w:tcW w:w="926"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7.73</w:t>
            </w:r>
            <w:r w:rsidR="00C64A37" w:rsidRPr="00FE24C0">
              <w:rPr>
                <w:rFonts w:eastAsia="Times New Roman"/>
                <w:color w:val="000000"/>
                <w:sz w:val="18"/>
                <w:szCs w:val="18"/>
                <w:lang w:eastAsia="en-GB"/>
              </w:rPr>
              <w:t>%</w:t>
            </w:r>
          </w:p>
        </w:tc>
        <w:tc>
          <w:tcPr>
            <w:tcW w:w="1280"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25,834,025</w:t>
            </w:r>
          </w:p>
        </w:tc>
        <w:tc>
          <w:tcPr>
            <w:tcW w:w="1106"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9.66</w:t>
            </w:r>
            <w:r w:rsidR="00C64A37" w:rsidRPr="00FE24C0">
              <w:rPr>
                <w:rFonts w:eastAsia="Times New Roman"/>
                <w:color w:val="000000"/>
                <w:sz w:val="18"/>
                <w:szCs w:val="18"/>
                <w:lang w:eastAsia="en-GB"/>
              </w:rPr>
              <w:t>%</w:t>
            </w:r>
          </w:p>
        </w:tc>
        <w:tc>
          <w:tcPr>
            <w:tcW w:w="1375"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32,292,531</w:t>
            </w:r>
          </w:p>
        </w:tc>
      </w:tr>
      <w:tr w:rsidR="00C64A37" w:rsidRPr="00FE24C0" w:rsidTr="001A3255">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1 in 12</w:t>
            </w:r>
          </w:p>
        </w:tc>
        <w:tc>
          <w:tcPr>
            <w:tcW w:w="959"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4.05%</w:t>
            </w:r>
          </w:p>
        </w:tc>
        <w:tc>
          <w:tcPr>
            <w:tcW w:w="1300"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13,557,257</w:t>
            </w:r>
          </w:p>
        </w:tc>
        <w:tc>
          <w:tcPr>
            <w:tcW w:w="926"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6.</w:t>
            </w:r>
            <w:r w:rsidR="002613D5" w:rsidRPr="00FE24C0">
              <w:rPr>
                <w:rFonts w:eastAsia="Times New Roman"/>
                <w:color w:val="000000"/>
                <w:sz w:val="18"/>
                <w:szCs w:val="18"/>
                <w:lang w:eastAsia="en-GB"/>
              </w:rPr>
              <w:t>36</w:t>
            </w:r>
            <w:r w:rsidRPr="00FE24C0">
              <w:rPr>
                <w:rFonts w:eastAsia="Times New Roman"/>
                <w:color w:val="000000"/>
                <w:sz w:val="18"/>
                <w:szCs w:val="18"/>
                <w:lang w:eastAsia="en-GB"/>
              </w:rPr>
              <w:t>%</w:t>
            </w:r>
          </w:p>
        </w:tc>
        <w:tc>
          <w:tcPr>
            <w:tcW w:w="1280"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2613D5">
            <w:pPr>
              <w:spacing w:after="0"/>
              <w:jc w:val="right"/>
              <w:rPr>
                <w:rFonts w:eastAsia="Times New Roman"/>
                <w:color w:val="000000"/>
                <w:sz w:val="18"/>
                <w:szCs w:val="18"/>
                <w:lang w:eastAsia="en-GB"/>
              </w:rPr>
            </w:pPr>
            <w:r w:rsidRPr="00FE24C0">
              <w:rPr>
                <w:rFonts w:eastAsia="Times New Roman"/>
                <w:color w:val="000000"/>
                <w:sz w:val="18"/>
                <w:szCs w:val="18"/>
                <w:lang w:eastAsia="en-GB"/>
              </w:rPr>
              <w:t>21</w:t>
            </w:r>
            <w:r w:rsidR="00C64A37" w:rsidRPr="00FE24C0">
              <w:rPr>
                <w:rFonts w:eastAsia="Times New Roman"/>
                <w:color w:val="000000"/>
                <w:sz w:val="18"/>
                <w:szCs w:val="18"/>
                <w:lang w:eastAsia="en-GB"/>
              </w:rPr>
              <w:t>,</w:t>
            </w:r>
            <w:r w:rsidRPr="00FE24C0">
              <w:rPr>
                <w:rFonts w:eastAsia="Times New Roman"/>
                <w:color w:val="000000"/>
                <w:sz w:val="18"/>
                <w:szCs w:val="18"/>
                <w:lang w:eastAsia="en-GB"/>
              </w:rPr>
              <w:t>259</w:t>
            </w:r>
            <w:r w:rsidR="00C64A37" w:rsidRPr="00FE24C0">
              <w:rPr>
                <w:rFonts w:eastAsia="Times New Roman"/>
                <w:color w:val="000000"/>
                <w:sz w:val="18"/>
                <w:szCs w:val="18"/>
                <w:lang w:eastAsia="en-GB"/>
              </w:rPr>
              <w:t>,</w:t>
            </w:r>
            <w:r w:rsidRPr="00FE24C0">
              <w:rPr>
                <w:rFonts w:eastAsia="Times New Roman"/>
                <w:color w:val="000000"/>
                <w:sz w:val="18"/>
                <w:szCs w:val="18"/>
                <w:lang w:eastAsia="en-GB"/>
              </w:rPr>
              <w:t>706</w:t>
            </w:r>
          </w:p>
        </w:tc>
        <w:tc>
          <w:tcPr>
            <w:tcW w:w="1106"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2613D5">
            <w:pPr>
              <w:spacing w:after="0"/>
              <w:jc w:val="right"/>
              <w:rPr>
                <w:rFonts w:eastAsia="Times New Roman"/>
                <w:color w:val="000000"/>
                <w:sz w:val="18"/>
                <w:szCs w:val="18"/>
                <w:lang w:eastAsia="en-GB"/>
              </w:rPr>
            </w:pPr>
            <w:r w:rsidRPr="00FE24C0">
              <w:rPr>
                <w:rFonts w:eastAsia="Times New Roman"/>
                <w:color w:val="000000"/>
                <w:sz w:val="18"/>
                <w:szCs w:val="18"/>
                <w:lang w:eastAsia="en-GB"/>
              </w:rPr>
              <w:t>7.95</w:t>
            </w:r>
            <w:r w:rsidR="00C64A37" w:rsidRPr="00FE24C0">
              <w:rPr>
                <w:rFonts w:eastAsia="Times New Roman"/>
                <w:color w:val="000000"/>
                <w:sz w:val="18"/>
                <w:szCs w:val="18"/>
                <w:lang w:eastAsia="en-GB"/>
              </w:rPr>
              <w:t>%</w:t>
            </w:r>
          </w:p>
        </w:tc>
        <w:tc>
          <w:tcPr>
            <w:tcW w:w="1375"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2613D5">
            <w:pPr>
              <w:spacing w:after="0"/>
              <w:jc w:val="right"/>
              <w:rPr>
                <w:rFonts w:eastAsia="Times New Roman"/>
                <w:color w:val="000000"/>
                <w:sz w:val="18"/>
                <w:szCs w:val="18"/>
                <w:lang w:eastAsia="en-GB"/>
              </w:rPr>
            </w:pPr>
            <w:r w:rsidRPr="00FE24C0">
              <w:rPr>
                <w:rFonts w:eastAsia="Times New Roman"/>
                <w:color w:val="000000"/>
                <w:sz w:val="18"/>
                <w:szCs w:val="18"/>
                <w:lang w:eastAsia="en-GB"/>
              </w:rPr>
              <w:t>26</w:t>
            </w:r>
            <w:r w:rsidR="00C64A37" w:rsidRPr="00FE24C0">
              <w:rPr>
                <w:rFonts w:eastAsia="Times New Roman"/>
                <w:color w:val="000000"/>
                <w:sz w:val="18"/>
                <w:szCs w:val="18"/>
                <w:lang w:eastAsia="en-GB"/>
              </w:rPr>
              <w:t>,</w:t>
            </w:r>
            <w:r w:rsidRPr="00FE24C0">
              <w:rPr>
                <w:rFonts w:eastAsia="Times New Roman"/>
                <w:color w:val="000000"/>
                <w:sz w:val="18"/>
                <w:szCs w:val="18"/>
                <w:lang w:eastAsia="en-GB"/>
              </w:rPr>
              <w:t>574</w:t>
            </w:r>
            <w:r w:rsidR="00C64A37" w:rsidRPr="00FE24C0">
              <w:rPr>
                <w:rFonts w:eastAsia="Times New Roman"/>
                <w:color w:val="000000"/>
                <w:sz w:val="18"/>
                <w:szCs w:val="18"/>
                <w:lang w:eastAsia="en-GB"/>
              </w:rPr>
              <w:t>,</w:t>
            </w:r>
            <w:r w:rsidRPr="00FE24C0">
              <w:rPr>
                <w:rFonts w:eastAsia="Times New Roman"/>
                <w:color w:val="000000"/>
                <w:sz w:val="18"/>
                <w:szCs w:val="18"/>
                <w:lang w:eastAsia="en-GB"/>
              </w:rPr>
              <w:t>632</w:t>
            </w:r>
          </w:p>
        </w:tc>
      </w:tr>
      <w:tr w:rsidR="00C64A37" w:rsidRPr="00FE24C0" w:rsidTr="001A3255">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64A37" w:rsidRPr="00FE24C0" w:rsidRDefault="00C64A37" w:rsidP="00C64A37">
            <w:pPr>
              <w:spacing w:after="0"/>
              <w:jc w:val="center"/>
              <w:rPr>
                <w:rFonts w:eastAsia="Times New Roman"/>
                <w:color w:val="000000"/>
                <w:sz w:val="18"/>
                <w:szCs w:val="18"/>
                <w:lang w:eastAsia="en-GB"/>
              </w:rPr>
            </w:pPr>
            <w:r w:rsidRPr="00FE24C0">
              <w:rPr>
                <w:rFonts w:eastAsia="Times New Roman"/>
                <w:color w:val="000000"/>
                <w:sz w:val="18"/>
                <w:szCs w:val="18"/>
                <w:lang w:eastAsia="en-GB"/>
              </w:rPr>
              <w:t>1 in 15</w:t>
            </w:r>
          </w:p>
        </w:tc>
        <w:tc>
          <w:tcPr>
            <w:tcW w:w="959"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3.07%</w:t>
            </w:r>
          </w:p>
        </w:tc>
        <w:tc>
          <w:tcPr>
            <w:tcW w:w="1300" w:type="dxa"/>
            <w:tcBorders>
              <w:top w:val="nil"/>
              <w:left w:val="nil"/>
              <w:bottom w:val="single" w:sz="4" w:space="0" w:color="auto"/>
              <w:right w:val="single" w:sz="4" w:space="0" w:color="auto"/>
            </w:tcBorders>
            <w:shd w:val="clear" w:color="auto" w:fill="auto"/>
            <w:noWrap/>
            <w:vAlign w:val="bottom"/>
            <w:hideMark/>
          </w:tcPr>
          <w:p w:rsidR="00C64A37" w:rsidRPr="00FE24C0" w:rsidRDefault="00C64A37"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10,265,067</w:t>
            </w:r>
          </w:p>
        </w:tc>
        <w:tc>
          <w:tcPr>
            <w:tcW w:w="926"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4.88</w:t>
            </w:r>
            <w:r w:rsidR="00C64A37" w:rsidRPr="00FE24C0">
              <w:rPr>
                <w:rFonts w:eastAsia="Times New Roman"/>
                <w:color w:val="000000"/>
                <w:sz w:val="18"/>
                <w:szCs w:val="18"/>
                <w:lang w:eastAsia="en-GB"/>
              </w:rPr>
              <w:t>%</w:t>
            </w:r>
          </w:p>
        </w:tc>
        <w:tc>
          <w:tcPr>
            <w:tcW w:w="1280"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16,316,646</w:t>
            </w:r>
          </w:p>
        </w:tc>
        <w:tc>
          <w:tcPr>
            <w:tcW w:w="1106"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6.10%</w:t>
            </w:r>
          </w:p>
        </w:tc>
        <w:tc>
          <w:tcPr>
            <w:tcW w:w="1375" w:type="dxa"/>
            <w:tcBorders>
              <w:top w:val="nil"/>
              <w:left w:val="nil"/>
              <w:bottom w:val="single" w:sz="4" w:space="0" w:color="auto"/>
              <w:right w:val="single" w:sz="4" w:space="0" w:color="auto"/>
            </w:tcBorders>
            <w:shd w:val="clear" w:color="auto" w:fill="auto"/>
            <w:noWrap/>
            <w:vAlign w:val="bottom"/>
            <w:hideMark/>
          </w:tcPr>
          <w:p w:rsidR="00C64A37" w:rsidRPr="00FE24C0" w:rsidRDefault="002613D5" w:rsidP="00C64A37">
            <w:pPr>
              <w:spacing w:after="0"/>
              <w:jc w:val="right"/>
              <w:rPr>
                <w:rFonts w:eastAsia="Times New Roman"/>
                <w:color w:val="000000"/>
                <w:sz w:val="18"/>
                <w:szCs w:val="18"/>
                <w:lang w:eastAsia="en-GB"/>
              </w:rPr>
            </w:pPr>
            <w:r w:rsidRPr="00FE24C0">
              <w:rPr>
                <w:rFonts w:eastAsia="Times New Roman"/>
                <w:color w:val="000000"/>
                <w:sz w:val="18"/>
                <w:szCs w:val="18"/>
                <w:lang w:eastAsia="en-GB"/>
              </w:rPr>
              <w:t>20,395,808</w:t>
            </w:r>
          </w:p>
        </w:tc>
      </w:tr>
    </w:tbl>
    <w:p w:rsidR="00C64A37" w:rsidRPr="00FE24C0" w:rsidRDefault="00C64A37" w:rsidP="00C64A37">
      <w:pPr>
        <w:pStyle w:val="Source"/>
        <w:spacing w:after="0"/>
      </w:pPr>
      <w:r w:rsidRPr="00FE24C0">
        <w:t>Source: Authors’ NDVI Rating Model</w:t>
      </w:r>
    </w:p>
    <w:p w:rsidR="00C64A37" w:rsidRDefault="00C64A37" w:rsidP="00C64A37">
      <w:pPr>
        <w:pStyle w:val="WB"/>
        <w:numPr>
          <w:ilvl w:val="0"/>
          <w:numId w:val="0"/>
        </w:numPr>
        <w:spacing w:after="0"/>
        <w:rPr>
          <w:sz w:val="20"/>
          <w:lang w:eastAsia="ja-JP"/>
        </w:rPr>
      </w:pPr>
      <w:r w:rsidRPr="00FE24C0">
        <w:rPr>
          <w:sz w:val="20"/>
          <w:lang w:eastAsia="ja-JP"/>
        </w:rPr>
        <w:t>Notes: *    Based on a Total Sum Insured of AR$ 334 million</w:t>
      </w:r>
    </w:p>
    <w:p w:rsidR="0075713F" w:rsidRPr="00FE24C0" w:rsidRDefault="0075713F" w:rsidP="00C64A37">
      <w:pPr>
        <w:pStyle w:val="WB"/>
        <w:numPr>
          <w:ilvl w:val="0"/>
          <w:numId w:val="0"/>
        </w:numPr>
        <w:spacing w:after="0"/>
        <w:rPr>
          <w:sz w:val="20"/>
          <w:lang w:eastAsia="ja-JP"/>
        </w:rPr>
      </w:pPr>
      <w:r>
        <w:rPr>
          <w:sz w:val="20"/>
          <w:lang w:eastAsia="ja-JP"/>
        </w:rPr>
        <w:t xml:space="preserve">           *</w:t>
      </w:r>
      <w:proofErr w:type="gramStart"/>
      <w:r>
        <w:rPr>
          <w:sz w:val="20"/>
          <w:lang w:eastAsia="ja-JP"/>
        </w:rPr>
        <w:t xml:space="preserve">*  </w:t>
      </w:r>
      <w:r w:rsidR="00081809">
        <w:rPr>
          <w:sz w:val="20"/>
          <w:lang w:eastAsia="ja-JP"/>
        </w:rPr>
        <w:t>Based</w:t>
      </w:r>
      <w:proofErr w:type="gramEnd"/>
      <w:r w:rsidR="00081809">
        <w:rPr>
          <w:sz w:val="20"/>
          <w:lang w:eastAsia="ja-JP"/>
        </w:rPr>
        <w:t xml:space="preserve"> on a security load of 30% of the standard deviation of the pure loss cost in each Cuartel </w:t>
      </w:r>
    </w:p>
    <w:p w:rsidR="00C64A37" w:rsidRPr="00FE24C0" w:rsidRDefault="00C64A37" w:rsidP="00C64A37">
      <w:pPr>
        <w:pStyle w:val="WB"/>
        <w:numPr>
          <w:ilvl w:val="0"/>
          <w:numId w:val="0"/>
        </w:numPr>
        <w:rPr>
          <w:sz w:val="20"/>
          <w:lang w:eastAsia="ja-JP"/>
        </w:rPr>
      </w:pPr>
      <w:r w:rsidRPr="00FE24C0">
        <w:rPr>
          <w:sz w:val="20"/>
          <w:lang w:eastAsia="ja-JP"/>
        </w:rPr>
        <w:t xml:space="preserve">         </w:t>
      </w:r>
      <w:r w:rsidR="0075713F">
        <w:rPr>
          <w:sz w:val="20"/>
          <w:lang w:eastAsia="ja-JP"/>
        </w:rPr>
        <w:t>*</w:t>
      </w:r>
      <w:r w:rsidRPr="00FE24C0">
        <w:rPr>
          <w:sz w:val="20"/>
          <w:lang w:eastAsia="ja-JP"/>
        </w:rPr>
        <w:t>*</w:t>
      </w:r>
      <w:proofErr w:type="gramStart"/>
      <w:r w:rsidRPr="00FE24C0">
        <w:rPr>
          <w:sz w:val="20"/>
          <w:lang w:eastAsia="ja-JP"/>
        </w:rPr>
        <w:t>*  Indicative</w:t>
      </w:r>
      <w:proofErr w:type="gramEnd"/>
      <w:r w:rsidRPr="00FE24C0">
        <w:rPr>
          <w:sz w:val="20"/>
          <w:lang w:eastAsia="ja-JP"/>
        </w:rPr>
        <w:t xml:space="preserve"> Commercial Premium Rates based on the Technical Rate with a loading of x 1.25.</w:t>
      </w:r>
    </w:p>
    <w:p w:rsidR="00C64A37" w:rsidRPr="00FE24C0" w:rsidRDefault="00C64A37" w:rsidP="00C64A37">
      <w:pPr>
        <w:pStyle w:val="WB"/>
        <w:numPr>
          <w:ilvl w:val="0"/>
          <w:numId w:val="0"/>
        </w:numPr>
        <w:rPr>
          <w:b/>
          <w:sz w:val="24"/>
          <w:szCs w:val="24"/>
          <w:lang w:eastAsia="es-NI"/>
        </w:rPr>
      </w:pPr>
    </w:p>
    <w:p w:rsidR="00DE7C24" w:rsidRDefault="00DE7C24" w:rsidP="00C64A37">
      <w:pPr>
        <w:pStyle w:val="WB"/>
        <w:numPr>
          <w:ilvl w:val="0"/>
          <w:numId w:val="0"/>
        </w:numPr>
        <w:rPr>
          <w:b/>
          <w:sz w:val="24"/>
          <w:szCs w:val="24"/>
          <w:lang w:eastAsia="es-NI"/>
        </w:rPr>
      </w:pPr>
    </w:p>
    <w:p w:rsidR="00C64A37" w:rsidRPr="00FE24C0" w:rsidRDefault="00C64A37" w:rsidP="00C64A37">
      <w:pPr>
        <w:pStyle w:val="WB"/>
        <w:numPr>
          <w:ilvl w:val="0"/>
          <w:numId w:val="0"/>
        </w:numPr>
        <w:rPr>
          <w:sz w:val="24"/>
          <w:szCs w:val="24"/>
        </w:rPr>
      </w:pPr>
      <w:r w:rsidRPr="00FE24C0">
        <w:rPr>
          <w:b/>
          <w:sz w:val="24"/>
          <w:szCs w:val="24"/>
          <w:lang w:eastAsia="es-NI"/>
        </w:rPr>
        <w:lastRenderedPageBreak/>
        <w:t>Institutional Framework for the NDVI insurance program in SWBA</w:t>
      </w:r>
    </w:p>
    <w:p w:rsidR="00C64A37" w:rsidRPr="00FE24C0" w:rsidRDefault="00C64A37" w:rsidP="00593B59">
      <w:pPr>
        <w:pStyle w:val="WB"/>
        <w:numPr>
          <w:ilvl w:val="0"/>
          <w:numId w:val="16"/>
        </w:numPr>
        <w:tabs>
          <w:tab w:val="left" w:pos="426"/>
        </w:tabs>
        <w:ind w:left="0" w:firstLine="0"/>
        <w:rPr>
          <w:szCs w:val="22"/>
        </w:rPr>
      </w:pPr>
      <w:r w:rsidRPr="00FE24C0">
        <w:rPr>
          <w:b/>
          <w:i/>
          <w:szCs w:val="22"/>
        </w:rPr>
        <w:t>Under the proposed Macro-level NDVI Index Insurance Program, Government of Argentina and or the Provincial Government of Buenos Aires would be the Insured.</w:t>
      </w:r>
      <w:r w:rsidRPr="00FE24C0">
        <w:rPr>
          <w:szCs w:val="22"/>
        </w:rPr>
        <w:t xml:space="preserve">  The beneficiaries of the pasture NDVI index </w:t>
      </w:r>
      <w:r w:rsidRPr="00FE24C0">
        <w:t>insurance</w:t>
      </w:r>
      <w:r w:rsidRPr="00FE24C0">
        <w:rPr>
          <w:szCs w:val="22"/>
        </w:rPr>
        <w:t xml:space="preserve"> policy would be the ± 8,000 cattle producers located in each Cuartel in the 12 Departments of SWBA (See Figure 2). </w:t>
      </w:r>
    </w:p>
    <w:p w:rsidR="00C64A37" w:rsidRPr="00FE24C0" w:rsidRDefault="00C64A37" w:rsidP="00593B59">
      <w:pPr>
        <w:pStyle w:val="WB"/>
        <w:numPr>
          <w:ilvl w:val="0"/>
          <w:numId w:val="16"/>
        </w:numPr>
        <w:tabs>
          <w:tab w:val="left" w:pos="426"/>
        </w:tabs>
        <w:ind w:left="0" w:firstLine="0"/>
        <w:rPr>
          <w:szCs w:val="22"/>
        </w:rPr>
      </w:pPr>
      <w:r w:rsidRPr="00FE24C0">
        <w:rPr>
          <w:b/>
          <w:i/>
          <w:szCs w:val="22"/>
        </w:rPr>
        <w:t>The interested private insurance companies are considering forming an appropriate local coinsurance pool structure to underwrite the NDVI program for livestock producers in SWBA and which in principle has been approved by the Superintendent of Insurance</w:t>
      </w:r>
      <w:r w:rsidRPr="00FE24C0">
        <w:rPr>
          <w:szCs w:val="22"/>
        </w:rPr>
        <w:t xml:space="preserve">. The </w:t>
      </w:r>
      <w:proofErr w:type="gramStart"/>
      <w:r w:rsidRPr="00FE24C0">
        <w:rPr>
          <w:szCs w:val="22"/>
        </w:rPr>
        <w:t>group</w:t>
      </w:r>
      <w:proofErr w:type="gramEnd"/>
      <w:r w:rsidRPr="00FE24C0">
        <w:rPr>
          <w:szCs w:val="22"/>
        </w:rPr>
        <w:t xml:space="preserve"> of Argentinean Insurance Companies which have been involved in this initiative from the outset have expressed an interest in underwriting any eventual NDVI pasture index insurance program under some form of </w:t>
      </w:r>
      <w:r w:rsidRPr="00FE24C0">
        <w:t>coinsurance</w:t>
      </w:r>
      <w:r w:rsidRPr="00FE24C0">
        <w:rPr>
          <w:szCs w:val="22"/>
        </w:rPr>
        <w:t xml:space="preserve"> Pool structure</w:t>
      </w:r>
      <w:r w:rsidR="0030201F">
        <w:rPr>
          <w:rStyle w:val="Refdenotaalpie"/>
          <w:szCs w:val="22"/>
        </w:rPr>
        <w:footnoteReference w:id="3"/>
      </w:r>
      <w:r w:rsidRPr="00FE24C0">
        <w:rPr>
          <w:szCs w:val="22"/>
        </w:rPr>
        <w:t>. The Superintendent of Insurance</w:t>
      </w:r>
      <w:r w:rsidR="00BA5D47" w:rsidRPr="00FE24C0">
        <w:rPr>
          <w:szCs w:val="22"/>
        </w:rPr>
        <w:t xml:space="preserve"> (SSN)</w:t>
      </w:r>
      <w:r w:rsidRPr="00FE24C0">
        <w:rPr>
          <w:szCs w:val="22"/>
        </w:rPr>
        <w:t xml:space="preserve"> has advised its agreement, in principle, to the SWBA NDVI Program being coinsured under a Pool agreement (See Figure 2). </w:t>
      </w:r>
    </w:p>
    <w:p w:rsidR="00C64A37" w:rsidRPr="00FE24C0" w:rsidRDefault="00C64A37" w:rsidP="00C64A37">
      <w:pPr>
        <w:pStyle w:val="WB"/>
        <w:numPr>
          <w:ilvl w:val="0"/>
          <w:numId w:val="0"/>
        </w:numPr>
        <w:rPr>
          <w:b/>
          <w:szCs w:val="22"/>
        </w:rPr>
      </w:pPr>
      <w:proofErr w:type="gramStart"/>
      <w:r w:rsidRPr="00FE24C0">
        <w:rPr>
          <w:b/>
        </w:rPr>
        <w:t>Figure 2.</w:t>
      </w:r>
      <w:proofErr w:type="gramEnd"/>
      <w:r w:rsidRPr="00FE24C0">
        <w:rPr>
          <w:b/>
        </w:rPr>
        <w:t xml:space="preserve"> Outline Institutional Framework for Macro-Level Livestock NDVI Insurance for Government in SWBA</w:t>
      </w:r>
    </w:p>
    <w:p w:rsidR="00C64A37" w:rsidRPr="00FE24C0" w:rsidRDefault="00C64A37" w:rsidP="00C64A37">
      <w:pPr>
        <w:pStyle w:val="WB"/>
        <w:numPr>
          <w:ilvl w:val="0"/>
          <w:numId w:val="0"/>
        </w:numPr>
        <w:spacing w:after="120"/>
        <w:jc w:val="center"/>
        <w:rPr>
          <w:szCs w:val="22"/>
        </w:rPr>
      </w:pPr>
      <w:r w:rsidRPr="00FE24C0">
        <w:rPr>
          <w:noProof/>
          <w:szCs w:val="22"/>
          <w:bdr w:val="single" w:sz="4" w:space="0" w:color="auto"/>
          <w:lang w:val="es-AR" w:eastAsia="es-AR"/>
        </w:rPr>
        <w:drawing>
          <wp:inline distT="0" distB="0" distL="0" distR="0">
            <wp:extent cx="4572000" cy="3423920"/>
            <wp:effectExtent l="19050" t="0" r="0"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72000" cy="3423920"/>
                    </a:xfrm>
                    <a:prstGeom prst="rect">
                      <a:avLst/>
                    </a:prstGeom>
                    <a:noFill/>
                    <a:ln w="9525">
                      <a:noFill/>
                      <a:miter lim="800000"/>
                      <a:headEnd/>
                      <a:tailEnd/>
                    </a:ln>
                  </pic:spPr>
                </pic:pic>
              </a:graphicData>
            </a:graphic>
          </wp:inline>
        </w:drawing>
      </w:r>
    </w:p>
    <w:p w:rsidR="00C64A37" w:rsidRPr="00FE24C0" w:rsidRDefault="00C64A37" w:rsidP="00C64A37">
      <w:pPr>
        <w:pStyle w:val="WB"/>
        <w:numPr>
          <w:ilvl w:val="0"/>
          <w:numId w:val="0"/>
        </w:numPr>
        <w:ind w:left="1440"/>
        <w:rPr>
          <w:sz w:val="20"/>
        </w:rPr>
      </w:pPr>
      <w:r w:rsidRPr="00FE24C0">
        <w:rPr>
          <w:sz w:val="20"/>
        </w:rPr>
        <w:t>Source: Authors</w:t>
      </w:r>
    </w:p>
    <w:p w:rsidR="00C64A37" w:rsidRPr="00FE24C0" w:rsidRDefault="00C64A37" w:rsidP="00C64A37">
      <w:pPr>
        <w:pStyle w:val="WB"/>
        <w:numPr>
          <w:ilvl w:val="0"/>
          <w:numId w:val="0"/>
        </w:numPr>
        <w:rPr>
          <w:sz w:val="24"/>
          <w:szCs w:val="24"/>
        </w:rPr>
      </w:pPr>
      <w:r w:rsidRPr="00FE24C0">
        <w:rPr>
          <w:b/>
          <w:sz w:val="24"/>
          <w:szCs w:val="24"/>
        </w:rPr>
        <w:t>NDVI Financial and Reinsurance Considerations</w:t>
      </w:r>
    </w:p>
    <w:p w:rsidR="00C64A37" w:rsidRPr="00FE24C0" w:rsidRDefault="00C64A37" w:rsidP="00593B59">
      <w:pPr>
        <w:pStyle w:val="WB"/>
        <w:numPr>
          <w:ilvl w:val="0"/>
          <w:numId w:val="16"/>
        </w:numPr>
        <w:tabs>
          <w:tab w:val="left" w:pos="426"/>
        </w:tabs>
        <w:ind w:left="0" w:firstLine="0"/>
        <w:rPr>
          <w:szCs w:val="22"/>
        </w:rPr>
      </w:pPr>
      <w:r w:rsidRPr="00FE24C0">
        <w:rPr>
          <w:b/>
          <w:i/>
          <w:szCs w:val="22"/>
        </w:rPr>
        <w:t xml:space="preserve">Under the proposed option where a macro-level policy is issued to the Federal Government or the Provincial Government of Buenos Aires, government would be responsible </w:t>
      </w:r>
      <w:r w:rsidRPr="00FE24C0">
        <w:rPr>
          <w:b/>
          <w:i/>
          <w:szCs w:val="22"/>
        </w:rPr>
        <w:lastRenderedPageBreak/>
        <w:t>for settling the due premium to the Pool Insurers</w:t>
      </w:r>
      <w:r w:rsidRPr="00FE24C0">
        <w:rPr>
          <w:szCs w:val="22"/>
        </w:rPr>
        <w:t xml:space="preserve">.  Government will need to decide whether it will cover 100% of the NDVI program commercial premium by itself, or to seek a premium cost-sharing formula with the livestock industry and local associations and the 8,000 cattle producers (the beneficiaries who will be automatically </w:t>
      </w:r>
      <w:r w:rsidR="0030201F">
        <w:rPr>
          <w:szCs w:val="22"/>
        </w:rPr>
        <w:t>registered</w:t>
      </w:r>
      <w:r w:rsidRPr="00FE24C0">
        <w:rPr>
          <w:szCs w:val="22"/>
        </w:rPr>
        <w:t xml:space="preserve"> under the macro-level NDVI policy.  It would, however, potentially be very difficult to implement an </w:t>
      </w:r>
      <w:r w:rsidRPr="00FE24C0">
        <w:t>automatic</w:t>
      </w:r>
      <w:r w:rsidRPr="00FE24C0">
        <w:rPr>
          <w:szCs w:val="22"/>
        </w:rPr>
        <w:t xml:space="preserve"> NDVI product if livestock producers in SWBA are required to contribute to the costs of premiums and possibly this program would have to then revert to a voluntary insurance scheme and which would not currently be accepted by the commercial insurers.</w:t>
      </w:r>
    </w:p>
    <w:p w:rsidR="00977D31" w:rsidRDefault="007A470A" w:rsidP="00593B59">
      <w:pPr>
        <w:pStyle w:val="WB"/>
        <w:numPr>
          <w:ilvl w:val="0"/>
          <w:numId w:val="16"/>
        </w:numPr>
        <w:tabs>
          <w:tab w:val="left" w:pos="426"/>
        </w:tabs>
        <w:ind w:left="0" w:firstLine="0"/>
        <w:rPr>
          <w:szCs w:val="22"/>
        </w:rPr>
      </w:pPr>
      <w:r w:rsidRPr="00FE24C0">
        <w:rPr>
          <w:b/>
          <w:i/>
          <w:szCs w:val="22"/>
        </w:rPr>
        <w:t>The probable maximum loss (PML) estimates on this scheme are high. Th</w:t>
      </w:r>
      <w:r w:rsidR="00661EED" w:rsidRPr="00FE24C0">
        <w:rPr>
          <w:b/>
          <w:i/>
          <w:szCs w:val="22"/>
        </w:rPr>
        <w:t>is</w:t>
      </w:r>
      <w:r w:rsidRPr="00FE24C0">
        <w:rPr>
          <w:b/>
          <w:i/>
          <w:szCs w:val="22"/>
        </w:rPr>
        <w:t xml:space="preserve"> is a reflection both of the systemic nature of drought risk exposure in the region and the nature of a parametric index insurance cover which is designed to trigger payouts up to 100% of the total sum insured (liability).</w:t>
      </w:r>
      <w:r w:rsidRPr="00FE24C0">
        <w:rPr>
          <w:szCs w:val="22"/>
        </w:rPr>
        <w:t xml:space="preserve"> </w:t>
      </w:r>
      <w:r w:rsidR="00661EED" w:rsidRPr="00FE24C0">
        <w:rPr>
          <w:szCs w:val="22"/>
        </w:rPr>
        <w:t xml:space="preserve">Under an automatic scheme for all livestock producers in SWBA there would, however, be considerable benefits from the pooling of risk across the 12 departments.  </w:t>
      </w:r>
      <w:r w:rsidRPr="00FE24C0">
        <w:rPr>
          <w:szCs w:val="22"/>
        </w:rPr>
        <w:t xml:space="preserve">For the 1 in </w:t>
      </w:r>
      <w:r w:rsidR="00661EED" w:rsidRPr="00FE24C0">
        <w:rPr>
          <w:szCs w:val="22"/>
        </w:rPr>
        <w:t>10</w:t>
      </w:r>
      <w:r w:rsidRPr="00FE24C0">
        <w:rPr>
          <w:szCs w:val="22"/>
        </w:rPr>
        <w:t xml:space="preserve"> year payout frequency, and 1 in 100 year PML, the </w:t>
      </w:r>
      <w:r w:rsidR="00B92980" w:rsidRPr="00FE24C0">
        <w:rPr>
          <w:szCs w:val="22"/>
        </w:rPr>
        <w:t xml:space="preserve">overall PML for the 12 departments is </w:t>
      </w:r>
      <w:r w:rsidR="005055E3">
        <w:rPr>
          <w:szCs w:val="22"/>
        </w:rPr>
        <w:t>66</w:t>
      </w:r>
      <w:r w:rsidR="00B92980" w:rsidRPr="00FE24C0">
        <w:rPr>
          <w:szCs w:val="22"/>
        </w:rPr>
        <w:t xml:space="preserve">% of </w:t>
      </w:r>
      <w:r w:rsidRPr="00FE24C0">
        <w:rPr>
          <w:szCs w:val="22"/>
        </w:rPr>
        <w:t>the Total Sum Insured or AR$</w:t>
      </w:r>
      <w:r w:rsidR="005055E3">
        <w:rPr>
          <w:szCs w:val="22"/>
        </w:rPr>
        <w:t>220</w:t>
      </w:r>
      <w:r w:rsidR="005055E3" w:rsidRPr="00FE24C0">
        <w:rPr>
          <w:szCs w:val="22"/>
        </w:rPr>
        <w:t xml:space="preserve"> </w:t>
      </w:r>
      <w:r w:rsidRPr="00FE24C0">
        <w:rPr>
          <w:szCs w:val="22"/>
        </w:rPr>
        <w:t>million</w:t>
      </w:r>
      <w:r w:rsidR="00B92980" w:rsidRPr="00FE24C0">
        <w:rPr>
          <w:szCs w:val="22"/>
        </w:rPr>
        <w:t xml:space="preserve">. This would be </w:t>
      </w:r>
      <w:r w:rsidRPr="00FE24C0">
        <w:rPr>
          <w:szCs w:val="22"/>
        </w:rPr>
        <w:t xml:space="preserve">equivalent to a </w:t>
      </w:r>
      <w:r w:rsidR="00B92980" w:rsidRPr="00FE24C0">
        <w:rPr>
          <w:szCs w:val="22"/>
        </w:rPr>
        <w:t xml:space="preserve">1 in a 100 year </w:t>
      </w:r>
      <w:r w:rsidRPr="00FE24C0">
        <w:rPr>
          <w:szCs w:val="22"/>
        </w:rPr>
        <w:t xml:space="preserve">PML loss ratio of </w:t>
      </w:r>
      <w:r w:rsidR="00273A4B">
        <w:rPr>
          <w:szCs w:val="22"/>
        </w:rPr>
        <w:t>68</w:t>
      </w:r>
      <w:r w:rsidR="00273A4B" w:rsidRPr="00FE24C0">
        <w:rPr>
          <w:szCs w:val="22"/>
        </w:rPr>
        <w:t>1</w:t>
      </w:r>
      <w:r w:rsidR="00B92980" w:rsidRPr="00FE24C0">
        <w:rPr>
          <w:szCs w:val="22"/>
        </w:rPr>
        <w:t>%</w:t>
      </w:r>
      <w:r w:rsidRPr="00FE24C0">
        <w:rPr>
          <w:szCs w:val="22"/>
        </w:rPr>
        <w:t>.</w:t>
      </w:r>
    </w:p>
    <w:p w:rsidR="00CC284D" w:rsidRPr="007E3164" w:rsidRDefault="00977D31" w:rsidP="007E3164">
      <w:pPr>
        <w:pStyle w:val="WB"/>
        <w:numPr>
          <w:ilvl w:val="0"/>
          <w:numId w:val="16"/>
        </w:numPr>
        <w:tabs>
          <w:tab w:val="left" w:pos="426"/>
        </w:tabs>
        <w:ind w:left="0" w:firstLine="0"/>
        <w:rPr>
          <w:szCs w:val="22"/>
        </w:rPr>
      </w:pPr>
      <w:r w:rsidRPr="00DE6159">
        <w:rPr>
          <w:b/>
          <w:i/>
          <w:szCs w:val="22"/>
        </w:rPr>
        <w:t xml:space="preserve">The capacity requirements for this program are very large and inevitably the local insurers and reinsurers will need to seek the support of specialist </w:t>
      </w:r>
      <w:r w:rsidRPr="00DE6159">
        <w:rPr>
          <w:b/>
          <w:i/>
        </w:rPr>
        <w:t>international</w:t>
      </w:r>
      <w:r w:rsidRPr="00DE6159">
        <w:rPr>
          <w:b/>
          <w:i/>
          <w:szCs w:val="22"/>
        </w:rPr>
        <w:t xml:space="preserve"> reinsurers of this class of agricultural index-based insurance</w:t>
      </w:r>
      <w:r w:rsidRPr="00FE24C0">
        <w:rPr>
          <w:szCs w:val="22"/>
        </w:rPr>
        <w:t>.</w:t>
      </w:r>
      <w:r w:rsidR="00B76DDA">
        <w:rPr>
          <w:szCs w:val="22"/>
        </w:rPr>
        <w:t xml:space="preserve">  </w:t>
      </w:r>
      <w:r w:rsidRPr="00FE24C0">
        <w:rPr>
          <w:szCs w:val="22"/>
        </w:rPr>
        <w:t>International reinsures will need to have access to the NDVI database and cover design and rating model in order to conduct their own analyses and to validate the threshold and exit triggers and payout scales and to then validate the technical rates and to determine the final commercial premium rates they require to support this program</w:t>
      </w:r>
      <w:r w:rsidR="008B5917">
        <w:rPr>
          <w:szCs w:val="22"/>
        </w:rPr>
        <w:t>.</w:t>
      </w:r>
      <w:r w:rsidR="00B92980" w:rsidRPr="00FE24C0">
        <w:rPr>
          <w:szCs w:val="22"/>
        </w:rPr>
        <w:t xml:space="preserve"> </w:t>
      </w:r>
    </w:p>
    <w:p w:rsidR="00C64A37" w:rsidRPr="00FE24C0" w:rsidRDefault="00C64A37" w:rsidP="00C64A37">
      <w:pPr>
        <w:pStyle w:val="WB"/>
        <w:numPr>
          <w:ilvl w:val="0"/>
          <w:numId w:val="0"/>
        </w:numPr>
        <w:rPr>
          <w:sz w:val="24"/>
          <w:szCs w:val="24"/>
        </w:rPr>
      </w:pPr>
      <w:r w:rsidRPr="00FE24C0">
        <w:rPr>
          <w:b/>
          <w:i/>
          <w:sz w:val="24"/>
          <w:szCs w:val="24"/>
        </w:rPr>
        <w:t>Next Steps – Moving Ahead</w:t>
      </w:r>
    </w:p>
    <w:p w:rsidR="00C64A37" w:rsidRPr="00FE24C0" w:rsidRDefault="00C64A37" w:rsidP="00593B59">
      <w:pPr>
        <w:pStyle w:val="WB"/>
        <w:numPr>
          <w:ilvl w:val="0"/>
          <w:numId w:val="16"/>
        </w:numPr>
        <w:tabs>
          <w:tab w:val="left" w:pos="426"/>
        </w:tabs>
        <w:ind w:left="0" w:firstLine="0"/>
        <w:rPr>
          <w:szCs w:val="22"/>
        </w:rPr>
      </w:pPr>
      <w:r w:rsidRPr="00FE24C0">
        <w:rPr>
          <w:b/>
          <w:i/>
          <w:szCs w:val="22"/>
        </w:rPr>
        <w:t>Decisions will need to be taken at an early stage by the Federal Government of Argentina or the Provincial Government of Buenos Aires whether they wish to purchase the proposed macro-level NDVI Index Insurance program for livestock producers in SWBA</w:t>
      </w:r>
      <w:r w:rsidRPr="00FE24C0">
        <w:rPr>
          <w:szCs w:val="22"/>
        </w:rPr>
        <w:t xml:space="preserve">. This report has clearly indicated that </w:t>
      </w:r>
      <w:r w:rsidRPr="00FE24C0">
        <w:rPr>
          <w:szCs w:val="22"/>
          <w:lang w:val="en-GB"/>
        </w:rPr>
        <w:t>because of the limitations on the satellite spatial resolution used by the World Bank for the design of this insurance program</w:t>
      </w:r>
      <w:r w:rsidRPr="00FE24C0">
        <w:rPr>
          <w:szCs w:val="22"/>
        </w:rPr>
        <w:t xml:space="preserve">, the NDVI cover is not suited to individual farmer insurance and furthermore that the insurance companies are currently not willing to underwrite a voluntary individual </w:t>
      </w:r>
      <w:r w:rsidRPr="00FE24C0">
        <w:t>farmer</w:t>
      </w:r>
      <w:r w:rsidRPr="00FE24C0">
        <w:rPr>
          <w:szCs w:val="22"/>
        </w:rPr>
        <w:t xml:space="preserve"> scheme. As such the proposed NDVI program is designed as an ex-ante financial contingency product for government to use to provide timely payouts to small and medium livestock (cattle) producers located in SWBA in years of extreme drought.</w:t>
      </w:r>
    </w:p>
    <w:p w:rsidR="00C64A37" w:rsidRPr="00FE24C0" w:rsidRDefault="00C64A37" w:rsidP="00593B59">
      <w:pPr>
        <w:pStyle w:val="WB"/>
        <w:numPr>
          <w:ilvl w:val="0"/>
          <w:numId w:val="16"/>
        </w:numPr>
        <w:tabs>
          <w:tab w:val="left" w:pos="426"/>
        </w:tabs>
        <w:ind w:left="0" w:firstLine="0"/>
        <w:rPr>
          <w:szCs w:val="22"/>
        </w:rPr>
      </w:pPr>
      <w:r w:rsidRPr="00FE24C0">
        <w:rPr>
          <w:b/>
          <w:i/>
          <w:szCs w:val="22"/>
        </w:rPr>
        <w:t xml:space="preserve">The new Macro-level NDVI insurance program should be seen as part of the Government’s natural disaster risk management strategy and will need to be carefully coordinated with the existing Federal and Provincial natural disaster and emergency relief </w:t>
      </w:r>
      <w:r w:rsidR="0030201F">
        <w:rPr>
          <w:b/>
          <w:i/>
          <w:szCs w:val="22"/>
        </w:rPr>
        <w:t>s</w:t>
      </w:r>
      <w:r w:rsidR="00F43355">
        <w:rPr>
          <w:b/>
          <w:i/>
          <w:szCs w:val="22"/>
        </w:rPr>
        <w:t>ystem</w:t>
      </w:r>
      <w:r w:rsidR="0030201F">
        <w:rPr>
          <w:b/>
          <w:i/>
          <w:szCs w:val="22"/>
        </w:rPr>
        <w:t xml:space="preserve"> </w:t>
      </w:r>
      <w:r w:rsidRPr="00FE24C0">
        <w:rPr>
          <w:b/>
          <w:i/>
          <w:szCs w:val="22"/>
        </w:rPr>
        <w:t>(</w:t>
      </w:r>
      <w:r w:rsidR="0030201F">
        <w:rPr>
          <w:b/>
          <w:i/>
          <w:szCs w:val="22"/>
        </w:rPr>
        <w:t xml:space="preserve">Sistema Nacional </w:t>
      </w:r>
      <w:r w:rsidR="008E1164">
        <w:rPr>
          <w:b/>
          <w:i/>
          <w:szCs w:val="22"/>
        </w:rPr>
        <w:t>para la Prevención y Mitigación de Emergencias y Disastres Agropecuarios</w:t>
      </w:r>
      <w:r w:rsidRPr="00FE24C0">
        <w:rPr>
          <w:b/>
          <w:i/>
          <w:szCs w:val="22"/>
        </w:rPr>
        <w:t xml:space="preserve">).  </w:t>
      </w:r>
      <w:r w:rsidRPr="00FE24C0">
        <w:rPr>
          <w:szCs w:val="22"/>
        </w:rPr>
        <w:t xml:space="preserve">If government elects to introduce NDVI pasture-drought cover for livestock (cattle) producers in SWBA, it will be necessary to decide on the future role of the </w:t>
      </w:r>
      <w:r w:rsidRPr="00FE24C0">
        <w:rPr>
          <w:i/>
          <w:szCs w:val="22"/>
        </w:rPr>
        <w:t>Emergencia Agropecuaria</w:t>
      </w:r>
      <w:r w:rsidRPr="00FE24C0">
        <w:rPr>
          <w:szCs w:val="22"/>
        </w:rPr>
        <w:t xml:space="preserve"> </w:t>
      </w:r>
      <w:r w:rsidR="008E1164">
        <w:rPr>
          <w:szCs w:val="22"/>
        </w:rPr>
        <w:t>s</w:t>
      </w:r>
      <w:r w:rsidR="00F43355">
        <w:rPr>
          <w:szCs w:val="22"/>
        </w:rPr>
        <w:t>ystem</w:t>
      </w:r>
      <w:r w:rsidRPr="00FE24C0">
        <w:rPr>
          <w:szCs w:val="22"/>
        </w:rPr>
        <w:t xml:space="preserve"> in this region as it would not be logical to continue operating two natural disaster compensations programs with overlapping objectives</w:t>
      </w:r>
      <w:r w:rsidR="00F43355">
        <w:rPr>
          <w:szCs w:val="22"/>
        </w:rPr>
        <w:t xml:space="preserve">.  If, however, Government elected only to purchase a very high level of catastrophe cover (for example the 1 in 15 year payout option) under the proposed NDVI Policy, it would have to consider how to address smaller loss events which are not triggered in intervening years: such losses might possibly continue to be compensated through the </w:t>
      </w:r>
      <w:r w:rsidR="00F43355" w:rsidRPr="00FE24C0">
        <w:rPr>
          <w:i/>
          <w:szCs w:val="22"/>
        </w:rPr>
        <w:t>Emergencia Agropecuaria</w:t>
      </w:r>
      <w:r w:rsidR="00F43355" w:rsidRPr="00FE24C0">
        <w:rPr>
          <w:szCs w:val="22"/>
        </w:rPr>
        <w:t xml:space="preserve"> </w:t>
      </w:r>
      <w:r w:rsidR="00F43355">
        <w:rPr>
          <w:szCs w:val="22"/>
        </w:rPr>
        <w:t>system</w:t>
      </w:r>
      <w:r w:rsidR="007D740A">
        <w:rPr>
          <w:szCs w:val="22"/>
        </w:rPr>
        <w:t xml:space="preserve"> (see chapter </w:t>
      </w:r>
      <w:r w:rsidR="008E1164">
        <w:rPr>
          <w:szCs w:val="22"/>
        </w:rPr>
        <w:t>7</w:t>
      </w:r>
      <w:r w:rsidR="007D740A">
        <w:rPr>
          <w:szCs w:val="22"/>
        </w:rPr>
        <w:t>)</w:t>
      </w:r>
      <w:r w:rsidRPr="00FE24C0">
        <w:rPr>
          <w:szCs w:val="22"/>
        </w:rPr>
        <w:t xml:space="preserve">. In addition, the proposed macro-level NDVI program should be carefully coordinated with any future national </w:t>
      </w:r>
      <w:r w:rsidRPr="00FE24C0">
        <w:rPr>
          <w:szCs w:val="22"/>
        </w:rPr>
        <w:lastRenderedPageBreak/>
        <w:t>voluntary or compulsory agricultural crop and livestock insurance programs that government may elect to introduce into Argentina.</w:t>
      </w:r>
    </w:p>
    <w:p w:rsidR="00C64A37" w:rsidRPr="00FE24C0" w:rsidRDefault="00BA5D47" w:rsidP="00593B59">
      <w:pPr>
        <w:pStyle w:val="WB"/>
        <w:numPr>
          <w:ilvl w:val="0"/>
          <w:numId w:val="16"/>
        </w:numPr>
        <w:tabs>
          <w:tab w:val="left" w:pos="426"/>
        </w:tabs>
        <w:ind w:left="0" w:firstLine="0"/>
        <w:rPr>
          <w:szCs w:val="22"/>
        </w:rPr>
      </w:pPr>
      <w:r w:rsidRPr="00FE24C0">
        <w:rPr>
          <w:b/>
          <w:i/>
          <w:szCs w:val="22"/>
        </w:rPr>
        <w:t>T</w:t>
      </w:r>
      <w:r w:rsidR="00C64A37" w:rsidRPr="00FE24C0">
        <w:rPr>
          <w:b/>
          <w:i/>
          <w:szCs w:val="22"/>
        </w:rPr>
        <w:t xml:space="preserve">he interested parties </w:t>
      </w:r>
      <w:r w:rsidRPr="00FE24C0">
        <w:rPr>
          <w:b/>
          <w:i/>
          <w:szCs w:val="22"/>
        </w:rPr>
        <w:t xml:space="preserve">may wish to </w:t>
      </w:r>
      <w:r w:rsidR="00C64A37" w:rsidRPr="00FE24C0">
        <w:rPr>
          <w:b/>
          <w:i/>
          <w:szCs w:val="22"/>
        </w:rPr>
        <w:t xml:space="preserve">consider implementation of a pilot NDVI program in selected departments of SWBA </w:t>
      </w:r>
      <w:r w:rsidRPr="00FE24C0">
        <w:rPr>
          <w:b/>
          <w:i/>
          <w:szCs w:val="22"/>
        </w:rPr>
        <w:t xml:space="preserve">in order </w:t>
      </w:r>
      <w:r w:rsidR="00C64A37" w:rsidRPr="00FE24C0">
        <w:rPr>
          <w:b/>
          <w:i/>
          <w:szCs w:val="22"/>
        </w:rPr>
        <w:t>to test the new pasture-drought index product</w:t>
      </w:r>
      <w:r w:rsidRPr="00FE24C0">
        <w:rPr>
          <w:b/>
          <w:i/>
          <w:szCs w:val="22"/>
        </w:rPr>
        <w:t xml:space="preserve"> before passing to full-scale implementation</w:t>
      </w:r>
      <w:r w:rsidR="00C64A37" w:rsidRPr="00FE24C0">
        <w:rPr>
          <w:b/>
          <w:i/>
          <w:szCs w:val="22"/>
        </w:rPr>
        <w:t xml:space="preserve">.  </w:t>
      </w:r>
      <w:r w:rsidR="00C64A37" w:rsidRPr="00FE24C0">
        <w:rPr>
          <w:szCs w:val="22"/>
        </w:rPr>
        <w:t xml:space="preserve">Given the major financial implications both in terms of the costs of commercial premiums and the insurance capacity requirements of this NDVI pasture insurance program, the stakeholders </w:t>
      </w:r>
      <w:r w:rsidRPr="00FE24C0">
        <w:rPr>
          <w:szCs w:val="22"/>
        </w:rPr>
        <w:t xml:space="preserve">may wish to </w:t>
      </w:r>
      <w:r w:rsidR="00C64A37" w:rsidRPr="00FE24C0">
        <w:rPr>
          <w:szCs w:val="22"/>
        </w:rPr>
        <w:t xml:space="preserve">consider starting with a pilot project in 1 or 2 departments and over a period of time </w:t>
      </w:r>
      <w:r w:rsidRPr="00FE24C0">
        <w:rPr>
          <w:szCs w:val="22"/>
        </w:rPr>
        <w:t xml:space="preserve">to </w:t>
      </w:r>
      <w:r w:rsidR="00C64A37" w:rsidRPr="00FE24C0">
        <w:rPr>
          <w:szCs w:val="22"/>
        </w:rPr>
        <w:t xml:space="preserve">expand the program to include all 12 departments in SWBA.  </w:t>
      </w:r>
      <w:r w:rsidRPr="00FE24C0">
        <w:rPr>
          <w:szCs w:val="22"/>
        </w:rPr>
        <w:t>The drawback of starting with one or two departments only is that there will be no benefits from pooling of risk and the PML would be close to 100% of the TSI for the pilot program</w:t>
      </w:r>
      <w:r w:rsidR="00C64A37" w:rsidRPr="00FE24C0">
        <w:rPr>
          <w:szCs w:val="22"/>
        </w:rPr>
        <w:t>.</w:t>
      </w:r>
    </w:p>
    <w:p w:rsidR="00C64A37" w:rsidRPr="00FE24C0" w:rsidRDefault="00C64A37" w:rsidP="00593B59">
      <w:pPr>
        <w:pStyle w:val="WB"/>
        <w:numPr>
          <w:ilvl w:val="0"/>
          <w:numId w:val="16"/>
        </w:numPr>
        <w:tabs>
          <w:tab w:val="left" w:pos="426"/>
        </w:tabs>
        <w:ind w:left="0" w:firstLine="0"/>
        <w:rPr>
          <w:szCs w:val="22"/>
        </w:rPr>
      </w:pPr>
      <w:r w:rsidRPr="00FE24C0">
        <w:rPr>
          <w:b/>
          <w:i/>
          <w:szCs w:val="22"/>
        </w:rPr>
        <w:t>At the outset, the insurance companies will need to decide how they wish to underwrite the NDVI program and the option of forming a coinsurance pool has been identified as one strategy to follow</w:t>
      </w:r>
      <w:r w:rsidRPr="00FE24C0">
        <w:rPr>
          <w:szCs w:val="22"/>
        </w:rPr>
        <w:t xml:space="preserve">.  Decisions will again have to be made </w:t>
      </w:r>
      <w:r w:rsidR="004C07FE">
        <w:rPr>
          <w:szCs w:val="22"/>
        </w:rPr>
        <w:t xml:space="preserve">by Government (the Insured) and the insurance sector </w:t>
      </w:r>
      <w:r w:rsidRPr="00FE24C0">
        <w:rPr>
          <w:szCs w:val="22"/>
        </w:rPr>
        <w:t>at an early stage whether to insure th</w:t>
      </w:r>
      <w:r w:rsidR="004C07FE">
        <w:rPr>
          <w:szCs w:val="22"/>
        </w:rPr>
        <w:t xml:space="preserve">e NDVI </w:t>
      </w:r>
      <w:r w:rsidRPr="00FE24C0">
        <w:rPr>
          <w:szCs w:val="22"/>
        </w:rPr>
        <w:t xml:space="preserve">program through </w:t>
      </w:r>
      <w:r w:rsidR="004C07FE">
        <w:rPr>
          <w:szCs w:val="22"/>
        </w:rPr>
        <w:t xml:space="preserve">a single </w:t>
      </w:r>
      <w:r w:rsidRPr="00FE24C0">
        <w:rPr>
          <w:szCs w:val="22"/>
        </w:rPr>
        <w:t>insurance company or t</w:t>
      </w:r>
      <w:r w:rsidR="004C07FE">
        <w:rPr>
          <w:szCs w:val="22"/>
        </w:rPr>
        <w:t xml:space="preserve">hrough some form of pool agreement with the </w:t>
      </w:r>
      <w:r w:rsidRPr="00FE24C0">
        <w:rPr>
          <w:szCs w:val="22"/>
        </w:rPr>
        <w:t xml:space="preserve">five leading </w:t>
      </w:r>
      <w:r w:rsidR="004C07FE">
        <w:rPr>
          <w:szCs w:val="22"/>
        </w:rPr>
        <w:t xml:space="preserve">private insurance </w:t>
      </w:r>
      <w:r w:rsidRPr="00FE24C0">
        <w:rPr>
          <w:szCs w:val="22"/>
        </w:rPr>
        <w:t xml:space="preserve">companies </w:t>
      </w:r>
      <w:r w:rsidR="004C07FE">
        <w:rPr>
          <w:szCs w:val="22"/>
        </w:rPr>
        <w:t xml:space="preserve">that </w:t>
      </w:r>
      <w:r w:rsidRPr="00FE24C0">
        <w:rPr>
          <w:szCs w:val="22"/>
        </w:rPr>
        <w:t>have supported this initiative over the past four years.</w:t>
      </w:r>
    </w:p>
    <w:p w:rsidR="00C64A37" w:rsidRPr="00FE24C0" w:rsidRDefault="00C64A37" w:rsidP="00593B59">
      <w:pPr>
        <w:pStyle w:val="WB"/>
        <w:numPr>
          <w:ilvl w:val="0"/>
          <w:numId w:val="16"/>
        </w:numPr>
        <w:tabs>
          <w:tab w:val="left" w:pos="426"/>
        </w:tabs>
        <w:ind w:left="0" w:firstLine="0"/>
        <w:rPr>
          <w:szCs w:val="22"/>
        </w:rPr>
      </w:pPr>
      <w:r w:rsidRPr="00FE24C0">
        <w:rPr>
          <w:b/>
          <w:i/>
          <w:szCs w:val="22"/>
        </w:rPr>
        <w:t xml:space="preserve">From a technical viewpoint it is recommended that the Pool Insurers consider contracting </w:t>
      </w:r>
      <w:r w:rsidR="00BA5D47" w:rsidRPr="00FE24C0">
        <w:rPr>
          <w:b/>
          <w:i/>
          <w:szCs w:val="22"/>
        </w:rPr>
        <w:t xml:space="preserve">a specialist firm </w:t>
      </w:r>
      <w:r w:rsidRPr="00FE24C0">
        <w:rPr>
          <w:b/>
          <w:i/>
          <w:szCs w:val="22"/>
        </w:rPr>
        <w:t xml:space="preserve">to update the SWBA NDVI Data-base from 2009 to 2012.  </w:t>
      </w:r>
      <w:r w:rsidRPr="00FE24C0">
        <w:rPr>
          <w:szCs w:val="22"/>
        </w:rPr>
        <w:t xml:space="preserve">The original study was conducted by LART-FAUBA for ORA-MAGP in 2010 using NDVI remote sensing data for the period 1982 to 2009. This database was made available to the World Bank under the current pasture NDVI Insurance Feasibility Study. If the NDVI Pilot project is approved, </w:t>
      </w:r>
      <w:r w:rsidR="00BA5D47" w:rsidRPr="00FE24C0">
        <w:rPr>
          <w:szCs w:val="22"/>
        </w:rPr>
        <w:t xml:space="preserve">the first task will be to update the </w:t>
      </w:r>
      <w:r w:rsidRPr="00FE24C0">
        <w:rPr>
          <w:szCs w:val="22"/>
        </w:rPr>
        <w:t>NDVI data-base to include the most recent years 2010 to 2012. Following this the World Bank NDVI-Rating Model will need to be updated to include the past three years NDVI data and the pure rates and technical rates recalculated.</w:t>
      </w:r>
      <w:r w:rsidR="004C07FE">
        <w:rPr>
          <w:szCs w:val="22"/>
        </w:rPr>
        <w:t xml:space="preserve">  Sustainability of the NDVI index product will need to include building in a budget for ongoing technical assistance covering both the processing of the NDVI imagery and also for updating the NDVI Rating Model as experience is gained over time.</w:t>
      </w:r>
    </w:p>
    <w:p w:rsidR="00CC284D" w:rsidRPr="007E3164" w:rsidRDefault="00C64A37" w:rsidP="007E3164">
      <w:pPr>
        <w:pStyle w:val="WB"/>
        <w:numPr>
          <w:ilvl w:val="0"/>
          <w:numId w:val="16"/>
        </w:numPr>
        <w:tabs>
          <w:tab w:val="left" w:pos="426"/>
        </w:tabs>
        <w:ind w:left="0" w:firstLine="0"/>
        <w:rPr>
          <w:szCs w:val="22"/>
        </w:rPr>
      </w:pPr>
      <w:r w:rsidRPr="00FE24C0">
        <w:rPr>
          <w:b/>
          <w:i/>
          <w:szCs w:val="22"/>
        </w:rPr>
        <w:t xml:space="preserve">The insurance companies will need to obtain </w:t>
      </w:r>
      <w:r w:rsidR="00DE6159">
        <w:rPr>
          <w:b/>
          <w:i/>
          <w:szCs w:val="22"/>
        </w:rPr>
        <w:t xml:space="preserve">formal </w:t>
      </w:r>
      <w:r w:rsidRPr="00FE24C0">
        <w:rPr>
          <w:b/>
          <w:i/>
          <w:szCs w:val="22"/>
        </w:rPr>
        <w:t xml:space="preserve">approval from the SNN to implement the new NDVI product / program.  </w:t>
      </w:r>
      <w:r w:rsidRPr="00FE24C0">
        <w:rPr>
          <w:szCs w:val="22"/>
        </w:rPr>
        <w:t>.</w:t>
      </w:r>
      <w:r w:rsidR="00004FC0">
        <w:rPr>
          <w:szCs w:val="22"/>
        </w:rPr>
        <w:t>Throughout the conduct of this feasibility study the World Bank team has regularly briefed the SNN on the technical design characteristics and rating model for the propsed index-based Pasture NDVI insurance program for livestock producers in SWBA. The SNN has been very supportive of the NDVI feasibility study.  Now that the feasibility study has been completed and the NDVI Rating Manual and NDVI Rating Tools have been finalised, the insurance companies are now in a position to prepare their Technical Note and formally to submit these documents and rating tools to the SNN for formal approval. Discussions are on-going with the SNN to verify whether the organization is interested in receiving specialist assistance or training under this GIIF funded project on legal and regulatory aspects of index insurance.</w:t>
      </w:r>
    </w:p>
    <w:p w:rsidR="00977D31" w:rsidRPr="00FE24C0" w:rsidRDefault="00977D31" w:rsidP="00593B59">
      <w:pPr>
        <w:pStyle w:val="WB"/>
        <w:numPr>
          <w:ilvl w:val="0"/>
          <w:numId w:val="16"/>
        </w:numPr>
        <w:tabs>
          <w:tab w:val="left" w:pos="426"/>
        </w:tabs>
        <w:ind w:left="0" w:firstLine="0"/>
        <w:rPr>
          <w:szCs w:val="22"/>
        </w:rPr>
      </w:pPr>
      <w:r w:rsidRPr="00FE24C0">
        <w:rPr>
          <w:b/>
          <w:i/>
          <w:szCs w:val="22"/>
        </w:rPr>
        <w:t>There will be a need to involve both local and international reinsurers at an early stage in the negotiations over the final cover design and rating and sums insured for this NDVI program and also in the design of the risk financing and reinsurance program.</w:t>
      </w:r>
      <w:r w:rsidRPr="00FE24C0">
        <w:rPr>
          <w:szCs w:val="22"/>
        </w:rPr>
        <w:t xml:space="preserve"> The specialist international agricultural reinsurers are familiar with NDVI insurance and their support will be critical to the implementation of this new NDVI program in Argentina. This report presents a rating tool to derive pure loss cost rates and technical premium rates.  Furthermore indicative commercial premium rates are </w:t>
      </w:r>
      <w:r w:rsidRPr="00FE24C0">
        <w:t>presented</w:t>
      </w:r>
      <w:r w:rsidRPr="00FE24C0">
        <w:rPr>
          <w:szCs w:val="22"/>
        </w:rPr>
        <w:t>. However, it is stressed that final rating decisions will need to be made by the local insurers and their local and international reinsurers</w:t>
      </w:r>
    </w:p>
    <w:p w:rsidR="00C64A37" w:rsidRPr="00FE24C0" w:rsidRDefault="00C64A37" w:rsidP="00593B59">
      <w:pPr>
        <w:pStyle w:val="WB"/>
        <w:numPr>
          <w:ilvl w:val="0"/>
          <w:numId w:val="16"/>
        </w:numPr>
        <w:tabs>
          <w:tab w:val="left" w:pos="426"/>
        </w:tabs>
        <w:ind w:left="0" w:firstLine="0"/>
        <w:rPr>
          <w:szCs w:val="22"/>
        </w:rPr>
      </w:pPr>
      <w:r w:rsidRPr="00FE24C0">
        <w:rPr>
          <w:b/>
          <w:i/>
          <w:szCs w:val="22"/>
        </w:rPr>
        <w:lastRenderedPageBreak/>
        <w:t>A third party NDVI Operator will also need to be identified and approved by all stakeholders in the implementation planning phase</w:t>
      </w:r>
      <w:r w:rsidRPr="00FE24C0">
        <w:rPr>
          <w:szCs w:val="22"/>
        </w:rPr>
        <w:t xml:space="preserve">.  It is essential that the third party operator is able to operate independently in monitoring the NDVI values for each pixel and Insured Unit during the Insurance Cover Period and for providing these data to the key stakeholders (including the Insured, the insurance companies and their reinsurers) on a regular monthly basis and where a claims payout is triggered in any Insured Unit that the claims are then settled to the intended beneficiaries within the agreed period specified in the Master Policy which will be issued to Government or its representative.  Currently the World Bank has requested LART-FAUBA to draw up technical specifications for the requirements of such a third party NDVI operator for the insurance program in SWBA. </w:t>
      </w:r>
    </w:p>
    <w:p w:rsidR="006D2120" w:rsidRPr="00FE24C0" w:rsidRDefault="00C64A37" w:rsidP="00593B59">
      <w:pPr>
        <w:pStyle w:val="WB"/>
        <w:numPr>
          <w:ilvl w:val="0"/>
          <w:numId w:val="16"/>
        </w:numPr>
        <w:tabs>
          <w:tab w:val="left" w:pos="426"/>
        </w:tabs>
        <w:ind w:left="0" w:firstLine="0"/>
        <w:rPr>
          <w:szCs w:val="22"/>
        </w:rPr>
      </w:pPr>
      <w:r w:rsidRPr="00FE24C0">
        <w:rPr>
          <w:b/>
          <w:i/>
          <w:szCs w:val="22"/>
        </w:rPr>
        <w:t>The most critical operational aspect of the proposed NDVI pasture index insurance program is to ensure that in the event of losses being triggered that livestock producers in the effected Insured Units (Cuartel) receive their indemnity payouts in a timely fashion</w:t>
      </w:r>
      <w:r w:rsidRPr="00FE24C0">
        <w:rPr>
          <w:szCs w:val="22"/>
        </w:rPr>
        <w:t>.  This report has shown that SENASA can provide accurate information for each and every livestock producer on their cattle (cows and heifers) holdings by Cuartel and by Department in SWBA for the purposes of registering these producers as the beneficiaries of the macro-level program and for the purposes of establishing the sums insured per beneficiary and by Cuartel and Department and in total.  The key outstanding issue which the insurers will need to discuss with government and with the livestock associations is the mechanism(s) for distributing timely payments to cattle owners in the event the policy triggers in any month of the cover period in any Insured Unit.  Ideally such payments would be effected by electronic transfer to individual beneficiary accounts.</w:t>
      </w:r>
    </w:p>
    <w:p w:rsidR="006D2120" w:rsidRPr="00FE24C0" w:rsidRDefault="006D2120" w:rsidP="007754D4">
      <w:pPr>
        <w:rPr>
          <w:szCs w:val="22"/>
        </w:rPr>
      </w:pPr>
    </w:p>
    <w:p w:rsidR="006D2120" w:rsidRPr="00FE24C0" w:rsidRDefault="006D2120" w:rsidP="007754D4">
      <w:pPr>
        <w:rPr>
          <w:szCs w:val="22"/>
        </w:rPr>
      </w:pPr>
    </w:p>
    <w:p w:rsidR="004A250F" w:rsidRPr="00FE24C0" w:rsidRDefault="004A250F" w:rsidP="009D2E35">
      <w:pPr>
        <w:pStyle w:val="StyleAPdroughtChapterCentered"/>
        <w:numPr>
          <w:ilvl w:val="0"/>
          <w:numId w:val="0"/>
        </w:numPr>
        <w:jc w:val="both"/>
        <w:rPr>
          <w:sz w:val="22"/>
        </w:rPr>
        <w:sectPr w:rsidR="004A250F" w:rsidRPr="00FE24C0">
          <w:headerReference w:type="default" r:id="rId12"/>
          <w:footerReference w:type="default" r:id="rId13"/>
          <w:pgSz w:w="12240" w:h="15840"/>
          <w:pgMar w:top="1260" w:right="1800" w:bottom="1440" w:left="1800" w:header="720" w:footer="720" w:gutter="0"/>
          <w:pgNumType w:fmt="lowerRoman" w:start="1"/>
          <w:cols w:space="720"/>
          <w:docGrid w:linePitch="360"/>
        </w:sectPr>
      </w:pPr>
    </w:p>
    <w:p w:rsidR="000A6819" w:rsidRPr="00FE24C0" w:rsidRDefault="006D2120" w:rsidP="00C16F94">
      <w:pPr>
        <w:pStyle w:val="Ttulo1"/>
      </w:pPr>
      <w:bookmarkStart w:id="4" w:name="_Toc332274321"/>
      <w:bookmarkStart w:id="5" w:name="_Toc345794247"/>
      <w:r w:rsidRPr="00FE24C0">
        <w:lastRenderedPageBreak/>
        <w:t>Introduction</w:t>
      </w:r>
      <w:r w:rsidR="005A2272" w:rsidRPr="00FE24C0">
        <w:t xml:space="preserve"> and Objectives of the Feasibility Study</w:t>
      </w:r>
      <w:bookmarkEnd w:id="4"/>
      <w:bookmarkEnd w:id="5"/>
      <w:r w:rsidR="000A6819" w:rsidRPr="00FE24C0">
        <w:t xml:space="preserve"> </w:t>
      </w:r>
    </w:p>
    <w:p w:rsidR="00E831F0" w:rsidRPr="00FE24C0" w:rsidRDefault="00937F0B" w:rsidP="009F2634">
      <w:pPr>
        <w:pStyle w:val="Subttulo"/>
        <w:numPr>
          <w:ilvl w:val="0"/>
          <w:numId w:val="0"/>
        </w:numPr>
        <w:rPr>
          <w:rFonts w:cs="Times New Roman"/>
          <w:b w:val="0"/>
          <w:i/>
        </w:rPr>
      </w:pPr>
      <w:bookmarkStart w:id="6" w:name="_Toc345794248"/>
      <w:r w:rsidRPr="00FE24C0">
        <w:rPr>
          <w:rFonts w:cs="Times New Roman"/>
        </w:rPr>
        <w:t>Background</w:t>
      </w:r>
      <w:r w:rsidR="004A127C" w:rsidRPr="00FE24C0">
        <w:rPr>
          <w:rFonts w:cs="Times New Roman"/>
        </w:rPr>
        <w:t xml:space="preserve"> to Drought Exposure </w:t>
      </w:r>
      <w:r w:rsidR="00B51A34" w:rsidRPr="00FE24C0">
        <w:rPr>
          <w:rFonts w:cs="Times New Roman"/>
        </w:rPr>
        <w:t>in</w:t>
      </w:r>
      <w:r w:rsidR="004A127C" w:rsidRPr="00FE24C0">
        <w:rPr>
          <w:rFonts w:cs="Times New Roman"/>
        </w:rPr>
        <w:t xml:space="preserve"> Livestock Production and Grazing in S</w:t>
      </w:r>
      <w:r w:rsidR="00B51A34" w:rsidRPr="00FE24C0">
        <w:rPr>
          <w:rFonts w:cs="Times New Roman"/>
        </w:rPr>
        <w:t>outh West Buenos Aires</w:t>
      </w:r>
      <w:r w:rsidR="004A127C" w:rsidRPr="00FE24C0">
        <w:rPr>
          <w:rFonts w:cs="Times New Roman"/>
        </w:rPr>
        <w:t xml:space="preserve"> Province</w:t>
      </w:r>
      <w:bookmarkEnd w:id="6"/>
    </w:p>
    <w:p w:rsidR="000A6819" w:rsidRPr="00FE24C0" w:rsidRDefault="00E831F0" w:rsidP="00C418DE">
      <w:pPr>
        <w:pStyle w:val="WBReport"/>
      </w:pPr>
      <w:r w:rsidRPr="00C418DE">
        <w:rPr>
          <w:b/>
          <w:i/>
        </w:rPr>
        <w:t>The South West of Buenos Aires Province (SWBA), Argentina, is a relatively low rainfall area much of which is not suitable for crop production and it is t</w:t>
      </w:r>
      <w:r w:rsidR="00B51A34" w:rsidRPr="00C418DE">
        <w:rPr>
          <w:b/>
          <w:i/>
        </w:rPr>
        <w:t xml:space="preserve">herefore allocated to pasture and </w:t>
      </w:r>
      <w:r w:rsidRPr="00C418DE">
        <w:rPr>
          <w:b/>
          <w:i/>
        </w:rPr>
        <w:t>grazing and beef cattle production.</w:t>
      </w:r>
      <w:r w:rsidRPr="00FE24C0">
        <w:t xml:space="preserve"> </w:t>
      </w:r>
      <w:r w:rsidR="00B35550" w:rsidRPr="00FE24C0">
        <w:t>Agricultur</w:t>
      </w:r>
      <w:r w:rsidR="006C52BD">
        <w:t>e and livestock</w:t>
      </w:r>
      <w:r w:rsidR="00B35550" w:rsidRPr="00FE24C0">
        <w:t xml:space="preserve"> </w:t>
      </w:r>
      <w:r w:rsidR="000A6819" w:rsidRPr="00FE24C0">
        <w:t>production</w:t>
      </w:r>
      <w:r w:rsidR="009D3C1B">
        <w:t xml:space="preserve"> </w:t>
      </w:r>
      <w:r w:rsidR="000A6819" w:rsidRPr="00FE24C0">
        <w:t xml:space="preserve">account for </w:t>
      </w:r>
      <w:r w:rsidR="009D3C1B">
        <w:t>28%</w:t>
      </w:r>
      <w:r w:rsidR="006C52BD">
        <w:t xml:space="preserve"> </w:t>
      </w:r>
      <w:r w:rsidR="000A6819" w:rsidRPr="00FE24C0">
        <w:t>of the Gross Geographic Product (GGP)</w:t>
      </w:r>
      <w:r w:rsidR="001D6076" w:rsidRPr="001D6076">
        <w:rPr>
          <w:vertAlign w:val="superscript"/>
        </w:rPr>
        <w:footnoteReference w:id="4"/>
      </w:r>
      <w:r w:rsidR="000A6819" w:rsidRPr="00FE24C0">
        <w:t xml:space="preserve"> of the </w:t>
      </w:r>
      <w:r w:rsidR="009D3C1B">
        <w:t xml:space="preserve">SWBA Region and cattle production alone accounts for 15% of </w:t>
      </w:r>
      <w:r w:rsidR="004E45AE">
        <w:t xml:space="preserve">the region’s </w:t>
      </w:r>
      <w:r w:rsidR="009D3C1B">
        <w:t>GGP</w:t>
      </w:r>
      <w:r w:rsidR="004E45AE">
        <w:t xml:space="preserve"> </w:t>
      </w:r>
      <w:r w:rsidR="00D470FB">
        <w:t>(SA</w:t>
      </w:r>
      <w:r w:rsidR="004E45AE">
        <w:t>y</w:t>
      </w:r>
      <w:r w:rsidR="00D470FB">
        <w:t>DS</w:t>
      </w:r>
      <w:r w:rsidR="00CC00F7">
        <w:t>,</w:t>
      </w:r>
      <w:r w:rsidR="00D470FB">
        <w:t xml:space="preserve"> 2012)</w:t>
      </w:r>
      <w:r w:rsidR="009D3C1B">
        <w:rPr>
          <w:rStyle w:val="Refdenotaalpie"/>
        </w:rPr>
        <w:footnoteReference w:id="5"/>
      </w:r>
      <w:r w:rsidR="000A6819" w:rsidRPr="00FE24C0">
        <w:t xml:space="preserve">. The SWBA is </w:t>
      </w:r>
      <w:r w:rsidR="00905E60" w:rsidRPr="00FE24C0">
        <w:t>a cattle rearing zone and</w:t>
      </w:r>
      <w:r w:rsidR="000A6819" w:rsidRPr="00FE24C0">
        <w:t xml:space="preserve"> </w:t>
      </w:r>
      <w:r w:rsidR="00905E60" w:rsidRPr="00FE24C0">
        <w:t xml:space="preserve">it </w:t>
      </w:r>
      <w:r w:rsidR="000A6819" w:rsidRPr="00FE24C0">
        <w:t xml:space="preserve">comprises 15% of the </w:t>
      </w:r>
      <w:r w:rsidR="00905E60" w:rsidRPr="00FE24C0">
        <w:t xml:space="preserve">total </w:t>
      </w:r>
      <w:r w:rsidR="000A6819" w:rsidRPr="00FE24C0">
        <w:t>beef cattle production</w:t>
      </w:r>
      <w:r w:rsidR="00905E60" w:rsidRPr="00FE24C0">
        <w:t xml:space="preserve"> in the Province of Buenos Aires</w:t>
      </w:r>
      <w:r w:rsidR="000A6819" w:rsidRPr="00FE24C0">
        <w:t xml:space="preserve">. </w:t>
      </w:r>
      <w:r w:rsidR="00B35550" w:rsidRPr="00FE24C0">
        <w:t>In 2011</w:t>
      </w:r>
      <w:r w:rsidR="00C209D7" w:rsidRPr="00FE24C0">
        <w:t>,</w:t>
      </w:r>
      <w:r w:rsidR="00B35550" w:rsidRPr="00FE24C0">
        <w:t xml:space="preserve"> there </w:t>
      </w:r>
      <w:r w:rsidR="00F974EB" w:rsidRPr="00FE24C0">
        <w:t>were</w:t>
      </w:r>
      <w:r w:rsidR="00B35550" w:rsidRPr="00FE24C0">
        <w:t xml:space="preserve"> </w:t>
      </w:r>
      <w:r w:rsidR="000A6819" w:rsidRPr="00FE24C0">
        <w:t xml:space="preserve">over 8,000 </w:t>
      </w:r>
      <w:r w:rsidR="00B35550" w:rsidRPr="00FE24C0">
        <w:t>mainly small to medium</w:t>
      </w:r>
      <w:r w:rsidR="00F57E05" w:rsidRPr="00FE24C0">
        <w:t xml:space="preserve"> sized</w:t>
      </w:r>
      <w:r w:rsidR="00B35550" w:rsidRPr="00FE24C0">
        <w:t xml:space="preserve"> </w:t>
      </w:r>
      <w:r w:rsidR="000A6819" w:rsidRPr="00FE24C0">
        <w:t>cattle producers</w:t>
      </w:r>
      <w:r w:rsidR="00F57E05" w:rsidRPr="00FE24C0">
        <w:t>,</w:t>
      </w:r>
      <w:r w:rsidR="000A6819" w:rsidRPr="00FE24C0">
        <w:t xml:space="preserve"> with more than 2</w:t>
      </w:r>
      <w:r w:rsidR="0062302D" w:rsidRPr="00FE24C0">
        <w:t>.14</w:t>
      </w:r>
      <w:r w:rsidR="000A6819" w:rsidRPr="00FE24C0">
        <w:t xml:space="preserve"> million head of beef cattle production in an area of about 3 million hectares </w:t>
      </w:r>
      <w:r w:rsidR="00555CA3" w:rsidRPr="00FE24C0">
        <w:t xml:space="preserve">(Ha) </w:t>
      </w:r>
      <w:r w:rsidR="000A6819" w:rsidRPr="00FE24C0">
        <w:t>of pasture (of which more than 85% is natural pasture)</w:t>
      </w:r>
      <w:r w:rsidR="00F974EB" w:rsidRPr="00FE24C0">
        <w:t xml:space="preserve"> located in SWBA</w:t>
      </w:r>
      <w:r w:rsidR="000A6819" w:rsidRPr="00FE24C0">
        <w:t xml:space="preserve">. </w:t>
      </w:r>
      <w:r w:rsidR="00B35550" w:rsidRPr="00FE24C0">
        <w:t xml:space="preserve"> </w:t>
      </w:r>
    </w:p>
    <w:p w:rsidR="004A127C" w:rsidRPr="00FE24C0" w:rsidRDefault="000A6819" w:rsidP="00C418DE">
      <w:pPr>
        <w:pStyle w:val="WBReport"/>
      </w:pPr>
      <w:r w:rsidRPr="00FE24C0">
        <w:rPr>
          <w:b/>
          <w:i/>
        </w:rPr>
        <w:t xml:space="preserve">Cattle production systems in SWBA are based on </w:t>
      </w:r>
      <w:r w:rsidR="00B35550" w:rsidRPr="00FE24C0">
        <w:rPr>
          <w:b/>
          <w:i/>
        </w:rPr>
        <w:t xml:space="preserve">extensive </w:t>
      </w:r>
      <w:r w:rsidRPr="00FE24C0">
        <w:rPr>
          <w:b/>
          <w:i/>
        </w:rPr>
        <w:t>grazing</w:t>
      </w:r>
      <w:r w:rsidR="00B35550" w:rsidRPr="00FE24C0">
        <w:rPr>
          <w:b/>
          <w:i/>
        </w:rPr>
        <w:t xml:space="preserve"> of mainly natural </w:t>
      </w:r>
      <w:r w:rsidR="00937F0B" w:rsidRPr="00FE24C0">
        <w:rPr>
          <w:b/>
          <w:i/>
        </w:rPr>
        <w:t xml:space="preserve">pasture. </w:t>
      </w:r>
      <w:r w:rsidRPr="00FE24C0">
        <w:t xml:space="preserve">In the most productive </w:t>
      </w:r>
      <w:r w:rsidR="00905E60" w:rsidRPr="00FE24C0">
        <w:t xml:space="preserve">higher rainfall </w:t>
      </w:r>
      <w:r w:rsidRPr="00FE24C0">
        <w:t xml:space="preserve">areas in SWBA </w:t>
      </w:r>
      <w:r w:rsidR="00905E60" w:rsidRPr="00FE24C0">
        <w:t>s</w:t>
      </w:r>
      <w:r w:rsidRPr="00FE24C0">
        <w:t xml:space="preserve">ituated </w:t>
      </w:r>
      <w:r w:rsidR="00905E60" w:rsidRPr="00FE24C0">
        <w:t>in</w:t>
      </w:r>
      <w:r w:rsidRPr="00FE24C0">
        <w:t xml:space="preserve"> the north east of the region, beef cattle production is performed in combination with crop </w:t>
      </w:r>
      <w:r w:rsidR="00FE01AB" w:rsidRPr="00FE24C0">
        <w:t xml:space="preserve">production </w:t>
      </w:r>
      <w:r w:rsidRPr="00FE24C0">
        <w:t xml:space="preserve">activities. In </w:t>
      </w:r>
      <w:r w:rsidR="00B35550" w:rsidRPr="00FE24C0">
        <w:t>th</w:t>
      </w:r>
      <w:r w:rsidR="00FE01AB" w:rsidRPr="00FE24C0">
        <w:t>ese areas both beef-</w:t>
      </w:r>
      <w:r w:rsidR="00B35550" w:rsidRPr="00FE24C0">
        <w:t xml:space="preserve">cattle breeding and beef fattening are practiced and cattle are fed both on pasture and on sown fodder </w:t>
      </w:r>
      <w:r w:rsidR="00FE01AB" w:rsidRPr="00FE24C0">
        <w:t xml:space="preserve">crops </w:t>
      </w:r>
      <w:r w:rsidR="00B35550" w:rsidRPr="00FE24C0">
        <w:t xml:space="preserve">and </w:t>
      </w:r>
      <w:r w:rsidR="00FE01AB" w:rsidRPr="00FE24C0">
        <w:t xml:space="preserve">cereal </w:t>
      </w:r>
      <w:r w:rsidR="00B35550" w:rsidRPr="00FE24C0">
        <w:t xml:space="preserve">crop residues. </w:t>
      </w:r>
      <w:r w:rsidRPr="00FE24C0">
        <w:t xml:space="preserve">Conversely, in the low </w:t>
      </w:r>
      <w:r w:rsidR="00905E60" w:rsidRPr="00FE24C0">
        <w:t>rainfall</w:t>
      </w:r>
      <w:r w:rsidR="00B35550" w:rsidRPr="00FE24C0">
        <w:t>,</w:t>
      </w:r>
      <w:r w:rsidR="00905E60" w:rsidRPr="00FE24C0">
        <w:t xml:space="preserve"> low </w:t>
      </w:r>
      <w:r w:rsidRPr="00FE24C0">
        <w:t xml:space="preserve">productive areas in the </w:t>
      </w:r>
      <w:r w:rsidR="00B35550" w:rsidRPr="00FE24C0">
        <w:t xml:space="preserve">centre and south of SWBA where </w:t>
      </w:r>
      <w:r w:rsidR="004A44A7" w:rsidRPr="00FE24C0">
        <w:t xml:space="preserve">rainfall is a </w:t>
      </w:r>
      <w:r w:rsidR="00B35550" w:rsidRPr="00FE24C0">
        <w:t>limiting factor</w:t>
      </w:r>
      <w:r w:rsidR="004A44A7" w:rsidRPr="00FE24C0">
        <w:t xml:space="preserve"> to crop production</w:t>
      </w:r>
      <w:r w:rsidRPr="00FE24C0">
        <w:t xml:space="preserve">, </w:t>
      </w:r>
      <w:r w:rsidR="00B35550" w:rsidRPr="00FE24C0">
        <w:t xml:space="preserve">most cattle producers are involved in </w:t>
      </w:r>
      <w:r w:rsidR="00B51A34" w:rsidRPr="00FE24C0">
        <w:t xml:space="preserve">cow-calf </w:t>
      </w:r>
      <w:r w:rsidR="00B35550" w:rsidRPr="00FE24C0">
        <w:t xml:space="preserve">breeding </w:t>
      </w:r>
      <w:r w:rsidR="00B51A34" w:rsidRPr="00FE24C0">
        <w:t>operations</w:t>
      </w:r>
      <w:r w:rsidR="004A44A7" w:rsidRPr="00FE24C0">
        <w:t xml:space="preserve"> and the animals are mainly fed on natural pasture.</w:t>
      </w:r>
    </w:p>
    <w:p w:rsidR="00A84C53" w:rsidRDefault="000A6819" w:rsidP="00C418DE">
      <w:pPr>
        <w:pStyle w:val="WBReport"/>
      </w:pPr>
      <w:proofErr w:type="gramStart"/>
      <w:r w:rsidRPr="00FE24C0">
        <w:rPr>
          <w:b/>
          <w:i/>
        </w:rPr>
        <w:t xml:space="preserve">Cattle rearing in SWBA Province </w:t>
      </w:r>
      <w:r w:rsidR="00621F13" w:rsidRPr="00FE24C0">
        <w:rPr>
          <w:b/>
          <w:i/>
        </w:rPr>
        <w:t>is</w:t>
      </w:r>
      <w:proofErr w:type="gramEnd"/>
      <w:r w:rsidR="00621F13" w:rsidRPr="00FE24C0">
        <w:rPr>
          <w:b/>
          <w:i/>
        </w:rPr>
        <w:t xml:space="preserve"> </w:t>
      </w:r>
      <w:r w:rsidRPr="00FE24C0">
        <w:rPr>
          <w:b/>
          <w:i/>
        </w:rPr>
        <w:t>very exposed to natural weather events and especially to droughts which impact severely on pasture</w:t>
      </w:r>
      <w:r w:rsidR="004A44A7" w:rsidRPr="00FE24C0">
        <w:rPr>
          <w:b/>
          <w:i/>
        </w:rPr>
        <w:t xml:space="preserve"> /</w:t>
      </w:r>
      <w:r w:rsidRPr="00FE24C0">
        <w:rPr>
          <w:b/>
          <w:i/>
        </w:rPr>
        <w:t xml:space="preserve"> grassland production</w:t>
      </w:r>
      <w:r w:rsidR="00905E60" w:rsidRPr="00FE24C0">
        <w:rPr>
          <w:b/>
          <w:i/>
        </w:rPr>
        <w:t xml:space="preserve">. </w:t>
      </w:r>
      <w:r w:rsidRPr="00FE24C0">
        <w:t xml:space="preserve">In the past </w:t>
      </w:r>
      <w:r w:rsidR="00977D31">
        <w:t>3</w:t>
      </w:r>
      <w:r w:rsidRPr="00FE24C0">
        <w:t xml:space="preserve">0 years beef production has been </w:t>
      </w:r>
      <w:r w:rsidRPr="00FE24C0">
        <w:rPr>
          <w:color w:val="000000"/>
        </w:rPr>
        <w:t>affected</w:t>
      </w:r>
      <w:r w:rsidRPr="00FE24C0">
        <w:t xml:space="preserve"> by severe droughts in 1995-1996</w:t>
      </w:r>
      <w:r w:rsidR="00905E60" w:rsidRPr="00FE24C0">
        <w:t>, 2004-2005, and 2007-2009</w:t>
      </w:r>
      <w:r w:rsidR="00977D31">
        <w:t xml:space="preserve"> and then </w:t>
      </w:r>
      <w:r w:rsidR="00A84C53">
        <w:t xml:space="preserve">most recently </w:t>
      </w:r>
      <w:r w:rsidR="00977D31">
        <w:t xml:space="preserve">in </w:t>
      </w:r>
      <w:r w:rsidR="00E7555D">
        <w:t>the spring</w:t>
      </w:r>
      <w:r w:rsidR="005A6F83">
        <w:t xml:space="preserve"> 2011 and </w:t>
      </w:r>
      <w:r w:rsidR="00E7555D">
        <w:t xml:space="preserve">summer </w:t>
      </w:r>
      <w:r w:rsidR="00977D31">
        <w:t>2011-12</w:t>
      </w:r>
      <w:r w:rsidR="00905E60" w:rsidRPr="00FE24C0">
        <w:t xml:space="preserve">. </w:t>
      </w:r>
      <w:r w:rsidRPr="00FE24C0">
        <w:t xml:space="preserve">The impacts of spring drought </w:t>
      </w:r>
      <w:r w:rsidR="00905E60" w:rsidRPr="00FE24C0">
        <w:t xml:space="preserve">(September to November) </w:t>
      </w:r>
      <w:r w:rsidRPr="00FE24C0">
        <w:t xml:space="preserve">in pasture results in major direct and indirect losses. The direct losses to the beef cattle sector include reduced pregnancy and birth rates, forced sales of calves prior to weaning and in extreme cases starvation and death of the cattle </w:t>
      </w:r>
      <w:r w:rsidR="00905E60" w:rsidRPr="00FE24C0">
        <w:t>(especially of the calves)</w:t>
      </w:r>
      <w:r w:rsidR="00A95374" w:rsidRPr="00FE24C0">
        <w:t>,</w:t>
      </w:r>
      <w:r w:rsidR="00905E60" w:rsidRPr="00FE24C0">
        <w:t xml:space="preserve"> </w:t>
      </w:r>
      <w:r w:rsidRPr="00FE24C0">
        <w:t xml:space="preserve">while indirect effects include disruptions to the beef rearing and or fattening enterprise over the next two or three years. In 2002 the cattle herd in SWBA </w:t>
      </w:r>
      <w:r w:rsidR="00905E60" w:rsidRPr="00FE24C0">
        <w:t xml:space="preserve">region </w:t>
      </w:r>
      <w:r w:rsidRPr="00FE24C0">
        <w:t>was about 3</w:t>
      </w:r>
      <w:r w:rsidR="00FD5242" w:rsidRPr="00FE24C0">
        <w:t>.6</w:t>
      </w:r>
      <w:r w:rsidRPr="00FE24C0">
        <w:t xml:space="preserve"> million head of animals, but following the very severe droughts of 2007 to 2009 </w:t>
      </w:r>
      <w:r w:rsidR="00905E60" w:rsidRPr="00FE24C0">
        <w:t xml:space="preserve">it </w:t>
      </w:r>
      <w:r w:rsidRPr="00FE24C0">
        <w:t>ha</w:t>
      </w:r>
      <w:r w:rsidR="00C252F6" w:rsidRPr="00FE24C0">
        <w:t>d</w:t>
      </w:r>
      <w:r w:rsidRPr="00FE24C0">
        <w:t xml:space="preserve"> been reduced to 2</w:t>
      </w:r>
      <w:r w:rsidR="00FD5242" w:rsidRPr="00FE24C0">
        <w:t>.2</w:t>
      </w:r>
      <w:r w:rsidRPr="00FE24C0">
        <w:t xml:space="preserve"> million </w:t>
      </w:r>
      <w:r w:rsidR="00FD5242" w:rsidRPr="00FE24C0">
        <w:t>cattle</w:t>
      </w:r>
      <w:r w:rsidRPr="00FE24C0">
        <w:t xml:space="preserve"> and large numbers of producers </w:t>
      </w:r>
      <w:r w:rsidR="00C252F6" w:rsidRPr="00FE24C0">
        <w:t>were</w:t>
      </w:r>
      <w:r w:rsidRPr="00FE24C0">
        <w:t xml:space="preserve"> bankrupted and </w:t>
      </w:r>
      <w:r w:rsidR="00C252F6" w:rsidRPr="00FE24C0">
        <w:t xml:space="preserve">had </w:t>
      </w:r>
      <w:r w:rsidRPr="00FE24C0">
        <w:t>sold their herds and f</w:t>
      </w:r>
      <w:r w:rsidR="00905E60" w:rsidRPr="00FE24C0">
        <w:t>arms and left the industry. The l</w:t>
      </w:r>
      <w:r w:rsidRPr="00FE24C0">
        <w:t>ocal econom</w:t>
      </w:r>
      <w:r w:rsidR="00905E60" w:rsidRPr="00FE24C0">
        <w:t>y</w:t>
      </w:r>
      <w:r w:rsidRPr="00FE24C0">
        <w:t xml:space="preserve"> in SWBA also suffer</w:t>
      </w:r>
      <w:r w:rsidR="00905E60" w:rsidRPr="00FE24C0">
        <w:t>s</w:t>
      </w:r>
      <w:r w:rsidRPr="00FE24C0">
        <w:t xml:space="preserve"> huge indirect losses as </w:t>
      </w:r>
      <w:r w:rsidR="00905E60" w:rsidRPr="00FE24C0">
        <w:t xml:space="preserve">a </w:t>
      </w:r>
      <w:r w:rsidRPr="00FE24C0">
        <w:t>consequence of droughts</w:t>
      </w:r>
      <w:r w:rsidR="00716EC9" w:rsidRPr="00FE24C0">
        <w:t xml:space="preserve">: </w:t>
      </w:r>
      <w:r w:rsidR="004A127C" w:rsidRPr="00FE24C0">
        <w:t xml:space="preserve">when </w:t>
      </w:r>
      <w:r w:rsidRPr="00FE24C0">
        <w:t>farmers g</w:t>
      </w:r>
      <w:r w:rsidR="00716EC9" w:rsidRPr="00FE24C0">
        <w:t>o</w:t>
      </w:r>
      <w:r w:rsidRPr="00FE24C0">
        <w:t xml:space="preserve"> bankrupt and ha</w:t>
      </w:r>
      <w:r w:rsidR="00716EC9" w:rsidRPr="00FE24C0">
        <w:t>ve</w:t>
      </w:r>
      <w:r w:rsidRPr="00FE24C0">
        <w:t xml:space="preserve"> to abandon their farms</w:t>
      </w:r>
      <w:r w:rsidR="004A127C" w:rsidRPr="00FE24C0">
        <w:t xml:space="preserve">, </w:t>
      </w:r>
      <w:r w:rsidRPr="00FE24C0">
        <w:t xml:space="preserve">the </w:t>
      </w:r>
      <w:r w:rsidR="004A127C" w:rsidRPr="00FE24C0">
        <w:t xml:space="preserve">local </w:t>
      </w:r>
      <w:r w:rsidRPr="00FE24C0">
        <w:t xml:space="preserve">commercial activities are severely affected leading to layoffs and an increase </w:t>
      </w:r>
      <w:r w:rsidR="00703832" w:rsidRPr="00FE24C0">
        <w:t>i</w:t>
      </w:r>
      <w:r w:rsidRPr="00FE24C0">
        <w:t>n unemployment rates and consequently increas</w:t>
      </w:r>
      <w:r w:rsidR="00B51A34" w:rsidRPr="00FE24C0">
        <w:t>ed</w:t>
      </w:r>
      <w:r w:rsidRPr="00FE24C0">
        <w:t xml:space="preserve"> migration to cities</w:t>
      </w:r>
      <w:r w:rsidR="00716EC9" w:rsidRPr="00FE24C0">
        <w:t>.</w:t>
      </w:r>
      <w:r w:rsidR="00D8516F" w:rsidRPr="00FE24C0">
        <w:t xml:space="preserve"> Over the past decade the direct and indirect losses to the livestock industry in SWBA have amounted to many hundreds of millions of </w:t>
      </w:r>
      <w:r w:rsidR="00D8516F" w:rsidRPr="00FE24C0">
        <w:lastRenderedPageBreak/>
        <w:t>Argentinean pesos.</w:t>
      </w:r>
      <w:r w:rsidR="00A84C53">
        <w:t xml:space="preserve">  </w:t>
      </w:r>
    </w:p>
    <w:p w:rsidR="000A6819" w:rsidRPr="006B529D" w:rsidRDefault="001D6076" w:rsidP="00C418DE">
      <w:pPr>
        <w:pStyle w:val="WBReport"/>
        <w:rPr>
          <w:b/>
          <w:i/>
        </w:rPr>
      </w:pPr>
      <w:r w:rsidRPr="001D6076">
        <w:rPr>
          <w:b/>
          <w:i/>
        </w:rPr>
        <w:t xml:space="preserve">The tendency in the past decade for more frequent and severe droughts and increased losses </w:t>
      </w:r>
      <w:r w:rsidR="006B529D">
        <w:rPr>
          <w:b/>
          <w:i/>
        </w:rPr>
        <w:t xml:space="preserve">in livestock </w:t>
      </w:r>
      <w:r w:rsidRPr="001D6076">
        <w:rPr>
          <w:b/>
          <w:i/>
        </w:rPr>
        <w:t xml:space="preserve">has important implications </w:t>
      </w:r>
      <w:r w:rsidR="006B529D">
        <w:rPr>
          <w:b/>
          <w:i/>
        </w:rPr>
        <w:t xml:space="preserve">both for the future management of the livestock sector in SWBA and </w:t>
      </w:r>
      <w:r w:rsidRPr="001D6076">
        <w:rPr>
          <w:b/>
          <w:i/>
        </w:rPr>
        <w:t xml:space="preserve">for any </w:t>
      </w:r>
      <w:r w:rsidR="006B529D">
        <w:rPr>
          <w:b/>
          <w:i/>
        </w:rPr>
        <w:t>risk transfe</w:t>
      </w:r>
      <w:r w:rsidR="00C262BB">
        <w:rPr>
          <w:b/>
          <w:i/>
        </w:rPr>
        <w:t>r</w:t>
      </w:r>
      <w:r w:rsidR="006B529D">
        <w:rPr>
          <w:b/>
          <w:i/>
        </w:rPr>
        <w:t xml:space="preserve"> </w:t>
      </w:r>
      <w:r w:rsidR="00C262BB">
        <w:rPr>
          <w:b/>
          <w:i/>
        </w:rPr>
        <w:t>/</w:t>
      </w:r>
      <w:r w:rsidR="006B529D">
        <w:rPr>
          <w:b/>
          <w:i/>
        </w:rPr>
        <w:t xml:space="preserve"> </w:t>
      </w:r>
      <w:r w:rsidRPr="001D6076">
        <w:rPr>
          <w:b/>
          <w:i/>
        </w:rPr>
        <w:t>insurance program</w:t>
      </w:r>
      <w:r w:rsidR="006B529D">
        <w:rPr>
          <w:b/>
          <w:i/>
        </w:rPr>
        <w:t xml:space="preserve">.  </w:t>
      </w:r>
      <w:r w:rsidR="00C262BB">
        <w:t xml:space="preserve">Government of Argentina (GoA) and the Ministry of Agriculture Livestock and Fisheries (MAGyP) are very conscious about the need to improve livestock husbandry and management practices in the more marginal low rainfall areas of SWBA and to introduce improved soil and water conservation measures and to ensure sustainable livestock stocking densities. From an insurance viewpoint, underwriters will be interested to assess whether the inceasing drought trends and losses in the livestock sector are adequately dealt with in the rating of an insurance program for livestock producers in SWBA. </w:t>
      </w:r>
      <w:r w:rsidR="008F4220">
        <w:t>(</w:t>
      </w:r>
      <w:proofErr w:type="gramStart"/>
      <w:r w:rsidR="008F4220">
        <w:t>see</w:t>
      </w:r>
      <w:proofErr w:type="gramEnd"/>
      <w:r w:rsidR="008F4220">
        <w:t xml:space="preserve"> Ch</w:t>
      </w:r>
      <w:r w:rsidR="006C52BD">
        <w:t>a</w:t>
      </w:r>
      <w:r w:rsidR="008F4220">
        <w:t>p</w:t>
      </w:r>
      <w:r w:rsidR="006C52BD">
        <w:t>ter 5 for further discussion).</w:t>
      </w:r>
    </w:p>
    <w:p w:rsidR="008057F2" w:rsidRPr="00C16F94" w:rsidRDefault="00AA2C40" w:rsidP="00C16F94">
      <w:pPr>
        <w:pStyle w:val="Subttulo"/>
        <w:numPr>
          <w:ilvl w:val="0"/>
          <w:numId w:val="0"/>
        </w:numPr>
        <w:rPr>
          <w:rFonts w:cs="Times New Roman"/>
        </w:rPr>
      </w:pPr>
      <w:bookmarkStart w:id="7" w:name="_Toc345794249"/>
      <w:r w:rsidRPr="00FE24C0">
        <w:rPr>
          <w:rFonts w:cs="Times New Roman"/>
        </w:rPr>
        <w:t xml:space="preserve">Agricultural Insurance in Argentina and lack of suitable </w:t>
      </w:r>
      <w:r w:rsidR="00CA7B5E" w:rsidRPr="00FE24C0">
        <w:rPr>
          <w:rFonts w:cs="Times New Roman"/>
        </w:rPr>
        <w:t xml:space="preserve">pasture insurance </w:t>
      </w:r>
      <w:r w:rsidRPr="00FE24C0">
        <w:rPr>
          <w:rFonts w:cs="Times New Roman"/>
        </w:rPr>
        <w:t>covers for Livestock Producers</w:t>
      </w:r>
      <w:r w:rsidR="00CA7B5E" w:rsidRPr="00FE24C0">
        <w:rPr>
          <w:rFonts w:cs="Times New Roman"/>
        </w:rPr>
        <w:t xml:space="preserve"> in SWBA</w:t>
      </w:r>
      <w:bookmarkEnd w:id="7"/>
    </w:p>
    <w:p w:rsidR="004A127C" w:rsidRPr="00FE24C0" w:rsidRDefault="004A127C" w:rsidP="00C418DE">
      <w:pPr>
        <w:pStyle w:val="WBReport"/>
      </w:pPr>
      <w:r w:rsidRPr="00FE24C0">
        <w:rPr>
          <w:b/>
          <w:i/>
        </w:rPr>
        <w:t>Argentina has a large and mature agricultural insurance market, but this does not provide protection to livestock producers for losses in their natural pasture and grazing lands.</w:t>
      </w:r>
      <w:r w:rsidR="006469C7" w:rsidRPr="00FE24C0">
        <w:rPr>
          <w:b/>
          <w:i/>
        </w:rPr>
        <w:t xml:space="preserve"> </w:t>
      </w:r>
      <w:r w:rsidRPr="00FE24C0">
        <w:t xml:space="preserve">Argentina has more than a hundred years experience with </w:t>
      </w:r>
      <w:r w:rsidR="00D8516F" w:rsidRPr="00FE24C0">
        <w:t xml:space="preserve">traditional indemnity-based </w:t>
      </w:r>
      <w:r w:rsidRPr="00FE24C0">
        <w:t>crop hail insurance</w:t>
      </w:r>
      <w:r w:rsidR="00FC21ED" w:rsidRPr="00FE24C0">
        <w:t>;</w:t>
      </w:r>
      <w:r w:rsidRPr="00FE24C0">
        <w:t xml:space="preserve"> and today 2</w:t>
      </w:r>
      <w:r w:rsidR="008057F2" w:rsidRPr="00FE24C0">
        <w:t>9</w:t>
      </w:r>
      <w:r w:rsidRPr="00FE24C0">
        <w:t xml:space="preserve"> private insurance companies are actively involved in insuring </w:t>
      </w:r>
      <w:r w:rsidR="00B51A34" w:rsidRPr="00FE24C0">
        <w:t>hail damage</w:t>
      </w:r>
      <w:r w:rsidR="008057F2" w:rsidRPr="00FE24C0">
        <w:rPr>
          <w:rStyle w:val="Refdenotaalpie"/>
        </w:rPr>
        <w:footnoteReference w:id="6"/>
      </w:r>
      <w:r w:rsidR="00B51A34" w:rsidRPr="00FE24C0">
        <w:t xml:space="preserve"> in </w:t>
      </w:r>
      <w:r w:rsidRPr="00FE24C0">
        <w:t>the main export cereal</w:t>
      </w:r>
      <w:r w:rsidR="009E48C1" w:rsidRPr="00FE24C0">
        <w:t>s</w:t>
      </w:r>
      <w:r w:rsidRPr="00FE24C0">
        <w:t xml:space="preserve">, oilseeds, fruit, </w:t>
      </w:r>
      <w:r w:rsidR="00937F0B" w:rsidRPr="00FE24C0">
        <w:t>fibers</w:t>
      </w:r>
      <w:r w:rsidRPr="00FE24C0">
        <w:t xml:space="preserve"> and grape crops grown in Argentina. </w:t>
      </w:r>
      <w:r w:rsidR="00AA2C40" w:rsidRPr="00FE24C0">
        <w:t>In 2011</w:t>
      </w:r>
      <w:r w:rsidR="00FC21ED" w:rsidRPr="00FE24C0">
        <w:t>,</w:t>
      </w:r>
      <w:r w:rsidR="00AA2C40" w:rsidRPr="00FE24C0">
        <w:t xml:space="preserve"> the total agricultural </w:t>
      </w:r>
      <w:r w:rsidR="00A35FF2" w:rsidRPr="00FE24C0">
        <w:t xml:space="preserve">crop </w:t>
      </w:r>
      <w:r w:rsidR="00AA2C40" w:rsidRPr="00FE24C0">
        <w:t>insurance premium volume amounted to AR$ 1</w:t>
      </w:r>
      <w:r w:rsidR="000B7332" w:rsidRPr="00FE24C0">
        <w:t>,</w:t>
      </w:r>
      <w:r w:rsidR="00AA2C40" w:rsidRPr="00FE24C0">
        <w:t xml:space="preserve">147 million </w:t>
      </w:r>
      <w:r w:rsidR="000B7332" w:rsidRPr="00FE24C0">
        <w:t>(approximately US$ 255 million</w:t>
      </w:r>
      <w:r w:rsidR="000B7332" w:rsidRPr="00FE24C0">
        <w:rPr>
          <w:rStyle w:val="Refdenotaalpie"/>
        </w:rPr>
        <w:footnoteReference w:id="7"/>
      </w:r>
      <w:r w:rsidR="000B7332" w:rsidRPr="00FE24C0">
        <w:t xml:space="preserve">) </w:t>
      </w:r>
      <w:r w:rsidR="00AA2C40" w:rsidRPr="00FE24C0">
        <w:t xml:space="preserve">with a total insured area of 21 million hectares equivalent to a penetration rate of about </w:t>
      </w:r>
      <w:r w:rsidR="00791607" w:rsidRPr="00FE24C0">
        <w:t>66</w:t>
      </w:r>
      <w:r w:rsidR="00AA2C40" w:rsidRPr="00FE24C0">
        <w:t>% of the total cultivated area</w:t>
      </w:r>
      <w:r w:rsidR="00FC21ED" w:rsidRPr="00FE24C0">
        <w:t>.</w:t>
      </w:r>
      <w:r w:rsidR="00AA2C40" w:rsidRPr="00FE24C0">
        <w:t xml:space="preserve"> The crop hail insurance market accounted for 95% of the total emitted premiu</w:t>
      </w:r>
      <w:r w:rsidR="00A35FF2" w:rsidRPr="00FE24C0">
        <w:t>m</w:t>
      </w:r>
      <w:r w:rsidR="000B7332" w:rsidRPr="00FE24C0">
        <w:t>s</w:t>
      </w:r>
      <w:r w:rsidR="00AA2C40" w:rsidRPr="00FE24C0">
        <w:t xml:space="preserve"> and 94% of the insured crop area. </w:t>
      </w:r>
      <w:r w:rsidRPr="00FE24C0">
        <w:t xml:space="preserve">There is also a much smaller market for </w:t>
      </w:r>
      <w:r w:rsidR="00FE01AB" w:rsidRPr="00FE24C0">
        <w:t xml:space="preserve">multiple-peril crop </w:t>
      </w:r>
      <w:r w:rsidRPr="00FE24C0">
        <w:t>insurance (MPCI)</w:t>
      </w:r>
      <w:r w:rsidR="00D8516F" w:rsidRPr="00FE24C0">
        <w:t xml:space="preserve"> </w:t>
      </w:r>
      <w:r w:rsidR="00555CA3" w:rsidRPr="00FE24C0">
        <w:t xml:space="preserve">which provides </w:t>
      </w:r>
      <w:r w:rsidR="00791607" w:rsidRPr="00FE24C0">
        <w:t xml:space="preserve">loss of yield-based </w:t>
      </w:r>
      <w:r w:rsidR="00555CA3" w:rsidRPr="00FE24C0">
        <w:t xml:space="preserve">protection against catastrophe perils </w:t>
      </w:r>
      <w:r w:rsidR="00791607" w:rsidRPr="00FE24C0">
        <w:t>including</w:t>
      </w:r>
      <w:r w:rsidR="00555CA3" w:rsidRPr="00FE24C0">
        <w:t xml:space="preserve"> drought and flood and frost</w:t>
      </w:r>
      <w:r w:rsidR="00A35FF2" w:rsidRPr="00FE24C0">
        <w:t>: in 2011</w:t>
      </w:r>
      <w:r w:rsidR="00FC21ED" w:rsidRPr="00FE24C0">
        <w:t>,</w:t>
      </w:r>
      <w:r w:rsidR="00555CA3" w:rsidRPr="00FE24C0">
        <w:t xml:space="preserve"> </w:t>
      </w:r>
      <w:r w:rsidR="00AA2C40" w:rsidRPr="00FE24C0">
        <w:t xml:space="preserve">MPCI accounted for only </w:t>
      </w:r>
      <w:r w:rsidR="00A35FF2" w:rsidRPr="00FE24C0">
        <w:t xml:space="preserve">5% of the total emitted crop insurance </w:t>
      </w:r>
      <w:r w:rsidR="00791607" w:rsidRPr="00FE24C0">
        <w:t>premium</w:t>
      </w:r>
      <w:r w:rsidR="00A35FF2" w:rsidRPr="00FE24C0">
        <w:t xml:space="preserve">s and </w:t>
      </w:r>
      <w:r w:rsidR="00555CA3" w:rsidRPr="00FE24C0">
        <w:t xml:space="preserve">6% of the </w:t>
      </w:r>
      <w:r w:rsidR="00A35FF2" w:rsidRPr="00FE24C0">
        <w:t>total</w:t>
      </w:r>
      <w:r w:rsidR="00AA2C40" w:rsidRPr="00FE24C0">
        <w:t xml:space="preserve"> insured </w:t>
      </w:r>
      <w:r w:rsidR="00A35FF2" w:rsidRPr="00FE24C0">
        <w:t xml:space="preserve">crop </w:t>
      </w:r>
      <w:r w:rsidR="00AA2C40" w:rsidRPr="00FE24C0">
        <w:t>area (SNN 2012). I</w:t>
      </w:r>
      <w:r w:rsidR="00D8516F" w:rsidRPr="00FE24C0">
        <w:t xml:space="preserve">n recent years there have been a few pilot initiatives to introduce parametric weather index insurance (WII) products into the </w:t>
      </w:r>
      <w:r w:rsidR="004A44A7" w:rsidRPr="00FE24C0">
        <w:t xml:space="preserve">Argentinean </w:t>
      </w:r>
      <w:r w:rsidR="00D8516F" w:rsidRPr="00FE24C0">
        <w:t xml:space="preserve">market. There is also a </w:t>
      </w:r>
      <w:r w:rsidR="00A35FF2" w:rsidRPr="00FE24C0">
        <w:t>very restricted</w:t>
      </w:r>
      <w:r w:rsidR="00D8516F" w:rsidRPr="00FE24C0">
        <w:t xml:space="preserve"> market for </w:t>
      </w:r>
      <w:r w:rsidR="00B51A34" w:rsidRPr="00FE24C0">
        <w:t xml:space="preserve">livestock </w:t>
      </w:r>
      <w:r w:rsidR="00D8516F" w:rsidRPr="00FE24C0">
        <w:t xml:space="preserve">accident and mortality </w:t>
      </w:r>
      <w:r w:rsidRPr="00FE24C0">
        <w:t xml:space="preserve">insurance </w:t>
      </w:r>
      <w:r w:rsidR="00B51A34" w:rsidRPr="00FE24C0">
        <w:t xml:space="preserve">and specialist </w:t>
      </w:r>
      <w:r w:rsidRPr="00FE24C0">
        <w:t xml:space="preserve">bloodstock </w:t>
      </w:r>
      <w:r w:rsidR="00B51A34" w:rsidRPr="00FE24C0">
        <w:t>insurance for high value breeding or show animals</w:t>
      </w:r>
      <w:r w:rsidR="006469C7" w:rsidRPr="00FE24C0">
        <w:t>,</w:t>
      </w:r>
      <w:r w:rsidR="00A35FF2" w:rsidRPr="00FE24C0">
        <w:t xml:space="preserve"> </w:t>
      </w:r>
      <w:r w:rsidR="00A35FF2" w:rsidRPr="00FE24C0">
        <w:rPr>
          <w:color w:val="000000"/>
        </w:rPr>
        <w:t>and</w:t>
      </w:r>
      <w:r w:rsidR="00A35FF2" w:rsidRPr="00FE24C0">
        <w:t xml:space="preserve"> in 2011 livestock premiums amount to AR$ 0.193 million or less than 0.02% of total agricultural insurance premiums (S</w:t>
      </w:r>
      <w:r w:rsidR="00661EED" w:rsidRPr="00FE24C0">
        <w:t>S</w:t>
      </w:r>
      <w:r w:rsidR="00A35FF2" w:rsidRPr="00FE24C0">
        <w:t>N 2012).  T</w:t>
      </w:r>
      <w:r w:rsidR="00D8516F" w:rsidRPr="00FE24C0">
        <w:t>here is</w:t>
      </w:r>
      <w:r w:rsidR="00A35FF2" w:rsidRPr="00FE24C0">
        <w:t>, however,</w:t>
      </w:r>
      <w:r w:rsidR="00D8516F" w:rsidRPr="00FE24C0">
        <w:t xml:space="preserve"> currently no commercial insurance product </w:t>
      </w:r>
      <w:r w:rsidR="00A35FF2" w:rsidRPr="00FE24C0">
        <w:t xml:space="preserve">available in Argentina </w:t>
      </w:r>
      <w:r w:rsidR="00D8516F" w:rsidRPr="00FE24C0">
        <w:t xml:space="preserve">for </w:t>
      </w:r>
      <w:r w:rsidR="00A35FF2" w:rsidRPr="00FE24C0">
        <w:t xml:space="preserve">livestock producers to protect them against </w:t>
      </w:r>
      <w:r w:rsidR="00B51A34" w:rsidRPr="00FE24C0">
        <w:t xml:space="preserve">quantitative and qualitative </w:t>
      </w:r>
      <w:r w:rsidR="00D8516F" w:rsidRPr="00FE24C0">
        <w:t xml:space="preserve">losses in </w:t>
      </w:r>
      <w:r w:rsidR="00B51A34" w:rsidRPr="00FE24C0">
        <w:t xml:space="preserve">natural </w:t>
      </w:r>
      <w:r w:rsidR="009E48C1" w:rsidRPr="00FE24C0">
        <w:t xml:space="preserve">pasture </w:t>
      </w:r>
      <w:r w:rsidR="00B51A34" w:rsidRPr="00FE24C0">
        <w:t xml:space="preserve">or sown </w:t>
      </w:r>
      <w:r w:rsidR="00D8516F" w:rsidRPr="00FE24C0">
        <w:t>pasture.</w:t>
      </w:r>
    </w:p>
    <w:p w:rsidR="00D8516F" w:rsidRPr="00FE24C0" w:rsidRDefault="00FE01AB" w:rsidP="00C418DE">
      <w:pPr>
        <w:pStyle w:val="WBReport"/>
      </w:pPr>
      <w:r w:rsidRPr="00FE24C0">
        <w:rPr>
          <w:b/>
          <w:i/>
        </w:rPr>
        <w:t>T</w:t>
      </w:r>
      <w:r w:rsidR="00D8516F" w:rsidRPr="00FE24C0">
        <w:rPr>
          <w:b/>
          <w:i/>
        </w:rPr>
        <w:t xml:space="preserve">he </w:t>
      </w:r>
      <w:r w:rsidR="009E48C1" w:rsidRPr="00FE24C0">
        <w:rPr>
          <w:b/>
          <w:i/>
        </w:rPr>
        <w:t xml:space="preserve">Federal </w:t>
      </w:r>
      <w:r w:rsidR="006469C7" w:rsidRPr="00FE24C0">
        <w:rPr>
          <w:b/>
          <w:i/>
        </w:rPr>
        <w:t xml:space="preserve">Government of Argentina </w:t>
      </w:r>
      <w:r w:rsidR="009E48C1" w:rsidRPr="00FE24C0">
        <w:rPr>
          <w:b/>
          <w:i/>
        </w:rPr>
        <w:t xml:space="preserve">and </w:t>
      </w:r>
      <w:r w:rsidR="006469C7" w:rsidRPr="00FE24C0">
        <w:rPr>
          <w:b/>
          <w:i/>
        </w:rPr>
        <w:t xml:space="preserve">the </w:t>
      </w:r>
      <w:r w:rsidR="009E48C1" w:rsidRPr="00FE24C0">
        <w:rPr>
          <w:b/>
          <w:i/>
        </w:rPr>
        <w:t>Pro</w:t>
      </w:r>
      <w:r w:rsidR="00D8516F" w:rsidRPr="00FE24C0">
        <w:rPr>
          <w:b/>
          <w:i/>
        </w:rPr>
        <w:t>vincial</w:t>
      </w:r>
      <w:r w:rsidR="006469C7" w:rsidRPr="00FE24C0">
        <w:rPr>
          <w:b/>
          <w:i/>
        </w:rPr>
        <w:t xml:space="preserve"> Government of Buenos Aires</w:t>
      </w:r>
      <w:r w:rsidR="00661EED" w:rsidRPr="00FE24C0">
        <w:rPr>
          <w:b/>
          <w:i/>
        </w:rPr>
        <w:t xml:space="preserve"> Province</w:t>
      </w:r>
      <w:r w:rsidR="00D8516F" w:rsidRPr="00FE24C0">
        <w:rPr>
          <w:b/>
          <w:i/>
        </w:rPr>
        <w:t xml:space="preserve"> provide limited assistance to </w:t>
      </w:r>
      <w:r w:rsidR="00A35FF2" w:rsidRPr="00FE24C0">
        <w:rPr>
          <w:b/>
          <w:i/>
        </w:rPr>
        <w:t xml:space="preserve">crop and </w:t>
      </w:r>
      <w:r w:rsidR="00D8516F" w:rsidRPr="00FE24C0">
        <w:rPr>
          <w:b/>
          <w:i/>
        </w:rPr>
        <w:t xml:space="preserve">livestock producers through the Natural Emergency and Disaster Assistance </w:t>
      </w:r>
      <w:r w:rsidR="006C52BD">
        <w:rPr>
          <w:b/>
          <w:i/>
        </w:rPr>
        <w:t>System</w:t>
      </w:r>
      <w:r w:rsidR="00D8516F" w:rsidRPr="00FE24C0">
        <w:rPr>
          <w:b/>
          <w:i/>
        </w:rPr>
        <w:t xml:space="preserve">. </w:t>
      </w:r>
      <w:r w:rsidR="00D8516F" w:rsidRPr="00FE24C0">
        <w:t xml:space="preserve">Argentina operates a national natural </w:t>
      </w:r>
      <w:r w:rsidR="007E3305" w:rsidRPr="00FE24C0">
        <w:t xml:space="preserve">emergency and </w:t>
      </w:r>
      <w:r w:rsidR="00D8516F" w:rsidRPr="00FE24C0">
        <w:t xml:space="preserve">disaster relief </w:t>
      </w:r>
      <w:r w:rsidR="006C52BD">
        <w:t>system</w:t>
      </w:r>
      <w:r w:rsidR="00D8516F" w:rsidRPr="00FE24C0">
        <w:t xml:space="preserve"> </w:t>
      </w:r>
      <w:r w:rsidR="002E0690">
        <w:t>(</w:t>
      </w:r>
      <w:r w:rsidR="001D6076" w:rsidRPr="001D6076">
        <w:rPr>
          <w:i/>
          <w:szCs w:val="22"/>
        </w:rPr>
        <w:t>Sistema Nacional para la Prevención y Mitigación de Emergencias y Disastres Agropecuarios</w:t>
      </w:r>
      <w:r w:rsidR="002E0690">
        <w:t xml:space="preserve">) </w:t>
      </w:r>
      <w:r w:rsidR="00D8516F" w:rsidRPr="00FE24C0">
        <w:t>for crop and livestock producers</w:t>
      </w:r>
      <w:r w:rsidR="005B68E0" w:rsidRPr="00FE24C0">
        <w:t xml:space="preserve">: currently this </w:t>
      </w:r>
      <w:r w:rsidR="002E0690">
        <w:t>system</w:t>
      </w:r>
      <w:r w:rsidR="005B68E0" w:rsidRPr="00FE24C0">
        <w:t xml:space="preserve"> </w:t>
      </w:r>
      <w:r w:rsidR="002E0690">
        <w:t xml:space="preserve">can draw on funds of about </w:t>
      </w:r>
      <w:r w:rsidR="005B68E0" w:rsidRPr="00FE24C0">
        <w:t xml:space="preserve">AR$ 500 million </w:t>
      </w:r>
      <w:r w:rsidR="002E0690">
        <w:t xml:space="preserve">per year </w:t>
      </w:r>
      <w:r w:rsidR="005B68E0" w:rsidRPr="00FE24C0">
        <w:t>(about US$ 1</w:t>
      </w:r>
      <w:r w:rsidR="000B7332" w:rsidRPr="00FE24C0">
        <w:t>1</w:t>
      </w:r>
      <w:r w:rsidR="005B68E0" w:rsidRPr="00FE24C0">
        <w:t>0 million)</w:t>
      </w:r>
      <w:r w:rsidR="00D8516F" w:rsidRPr="00FE24C0">
        <w:t>. The co</w:t>
      </w:r>
      <w:r w:rsidRPr="00FE24C0">
        <w:t>mpensation</w:t>
      </w:r>
      <w:r w:rsidR="00D8516F" w:rsidRPr="00FE24C0">
        <w:t xml:space="preserve"> for </w:t>
      </w:r>
      <w:r w:rsidR="00D8516F" w:rsidRPr="00FE24C0">
        <w:lastRenderedPageBreak/>
        <w:t xml:space="preserve">livestock producers is, however, </w:t>
      </w:r>
      <w:r w:rsidR="004A44A7" w:rsidRPr="00FE24C0">
        <w:t xml:space="preserve">very </w:t>
      </w:r>
      <w:r w:rsidR="00D8516F" w:rsidRPr="00FE24C0">
        <w:t>limited and usually amounts to tax relief on the forced sales of livestock in the event of major droughts which re</w:t>
      </w:r>
      <w:r w:rsidR="001F0512" w:rsidRPr="00FE24C0">
        <w:t>s</w:t>
      </w:r>
      <w:r w:rsidR="00D8516F" w:rsidRPr="00FE24C0">
        <w:t xml:space="preserve">ult in a lack of pasture and grazing to </w:t>
      </w:r>
      <w:r w:rsidR="00D8516F" w:rsidRPr="00FE24C0">
        <w:rPr>
          <w:color w:val="000000"/>
        </w:rPr>
        <w:t>feed</w:t>
      </w:r>
      <w:r w:rsidR="00D8516F" w:rsidRPr="00FE24C0">
        <w:t xml:space="preserve"> the animals.</w:t>
      </w:r>
      <w:r w:rsidR="001F0512" w:rsidRPr="00FE24C0">
        <w:t xml:space="preserve"> These </w:t>
      </w:r>
      <w:r w:rsidR="005B68E0" w:rsidRPr="00FE24C0">
        <w:t xml:space="preserve">natural disaster relief </w:t>
      </w:r>
      <w:r w:rsidR="001F0512" w:rsidRPr="00FE24C0">
        <w:t>measures have</w:t>
      </w:r>
      <w:r w:rsidR="004A6A34" w:rsidRPr="00FE24C0">
        <w:t>,</w:t>
      </w:r>
      <w:r w:rsidR="001F0512" w:rsidRPr="00FE24C0">
        <w:t xml:space="preserve"> </w:t>
      </w:r>
      <w:r w:rsidR="00BD63C0" w:rsidRPr="00FE24C0">
        <w:t>therefore</w:t>
      </w:r>
      <w:r w:rsidR="004A6A34" w:rsidRPr="00FE24C0">
        <w:t>,</w:t>
      </w:r>
      <w:r w:rsidR="00BD63C0" w:rsidRPr="00FE24C0">
        <w:t xml:space="preserve"> </w:t>
      </w:r>
      <w:r w:rsidR="001F0512" w:rsidRPr="00FE24C0">
        <w:t xml:space="preserve">not prevented the major reduction of the </w:t>
      </w:r>
      <w:r w:rsidR="00BD63C0" w:rsidRPr="00FE24C0">
        <w:t xml:space="preserve">numbers of </w:t>
      </w:r>
      <w:r w:rsidR="001F0512" w:rsidRPr="00FE24C0">
        <w:t>livestock (cattle) in SWBA in recent years.</w:t>
      </w:r>
    </w:p>
    <w:p w:rsidR="00CA7B5E" w:rsidRPr="00FE24C0" w:rsidRDefault="00937F0B" w:rsidP="00C418DE">
      <w:pPr>
        <w:pStyle w:val="WBReport"/>
      </w:pPr>
      <w:r w:rsidRPr="00FE24C0">
        <w:rPr>
          <w:b/>
          <w:i/>
        </w:rPr>
        <w:t>In 2012, the Federal Government of Argentina (GoA) is considering the introduction of compulsory agricultural insurance to ensure that all crop producers have a basic level of insurance protection against major natural disasters and especially against drought.</w:t>
      </w:r>
      <w:r w:rsidRPr="00FE24C0">
        <w:t xml:space="preserve"> </w:t>
      </w:r>
      <w:r w:rsidR="00A54CF6" w:rsidRPr="00FE24C0">
        <w:t xml:space="preserve">As a response to the major drought losses experienced in Argentinean agriculture in </w:t>
      </w:r>
      <w:r w:rsidR="00A16620" w:rsidRPr="00FE24C0">
        <w:t xml:space="preserve">2008-09 and again in </w:t>
      </w:r>
      <w:r w:rsidR="007E3305" w:rsidRPr="00FE24C0">
        <w:t>2011</w:t>
      </w:r>
      <w:r w:rsidR="00A16620" w:rsidRPr="00FE24C0">
        <w:t>-12</w:t>
      </w:r>
      <w:r w:rsidR="00A54CF6" w:rsidRPr="00FE24C0">
        <w:t xml:space="preserve">, in </w:t>
      </w:r>
      <w:r w:rsidR="007E3305" w:rsidRPr="00FE24C0">
        <w:t>February</w:t>
      </w:r>
      <w:r w:rsidR="005B68E0" w:rsidRPr="00FE24C0">
        <w:t xml:space="preserve"> 201</w:t>
      </w:r>
      <w:r w:rsidR="007E3305" w:rsidRPr="00FE24C0">
        <w:t>2</w:t>
      </w:r>
      <w:r w:rsidR="00A54CF6" w:rsidRPr="00FE24C0">
        <w:t xml:space="preserve"> the </w:t>
      </w:r>
      <w:r w:rsidR="00A54CF6" w:rsidRPr="00FE24C0">
        <w:rPr>
          <w:color w:val="000000"/>
        </w:rPr>
        <w:t>President</w:t>
      </w:r>
      <w:r w:rsidR="00A54CF6" w:rsidRPr="00FE24C0">
        <w:t xml:space="preserve"> of the Nation requested the Minister of Agriculture to explore options to introduce some form of </w:t>
      </w:r>
      <w:r w:rsidR="007E3305" w:rsidRPr="00FE24C0">
        <w:t>obligatory</w:t>
      </w:r>
      <w:r w:rsidR="00A54CF6" w:rsidRPr="00FE24C0">
        <w:t xml:space="preserve"> multiple peril crop insurance that would provide a basic level of financial protection to all farmers </w:t>
      </w:r>
      <w:r w:rsidR="007E3305" w:rsidRPr="00FE24C0">
        <w:t xml:space="preserve">against loss of their investment costs </w:t>
      </w:r>
      <w:r w:rsidR="00A54CF6" w:rsidRPr="00FE24C0">
        <w:t xml:space="preserve">in the event of severe </w:t>
      </w:r>
      <w:r w:rsidR="005B68E0" w:rsidRPr="00FE24C0">
        <w:t>events</w:t>
      </w:r>
      <w:r w:rsidR="00A54CF6" w:rsidRPr="00FE24C0">
        <w:t xml:space="preserve">. </w:t>
      </w:r>
      <w:r w:rsidR="00661EED" w:rsidRPr="00FE24C0">
        <w:t>Government considers t</w:t>
      </w:r>
      <w:r w:rsidR="005B68E0" w:rsidRPr="00FE24C0">
        <w:t xml:space="preserve">his </w:t>
      </w:r>
      <w:r w:rsidR="007E3305" w:rsidRPr="00FE24C0">
        <w:t xml:space="preserve">national </w:t>
      </w:r>
      <w:r w:rsidR="004A44A7" w:rsidRPr="00FE24C0">
        <w:t xml:space="preserve">agricultural insurance program </w:t>
      </w:r>
      <w:r w:rsidR="000B7332" w:rsidRPr="00FE24C0">
        <w:t>is</w:t>
      </w:r>
      <w:r w:rsidR="007E3305" w:rsidRPr="00FE24C0">
        <w:t xml:space="preserve"> necessary because of (i) the restricted provision of MPCI-drought insurance by the insurance sector</w:t>
      </w:r>
      <w:r w:rsidR="004A6A34" w:rsidRPr="00FE24C0">
        <w:t>;</w:t>
      </w:r>
      <w:r w:rsidR="007E3305" w:rsidRPr="00FE24C0">
        <w:t xml:space="preserve"> and (ii) the limited financial budget of the National Emergency and Disaster Assistance </w:t>
      </w:r>
      <w:r w:rsidR="002E0690">
        <w:t>System</w:t>
      </w:r>
      <w:r w:rsidR="007E3305" w:rsidRPr="00FE24C0">
        <w:t xml:space="preserve"> to deal with major disasters. </w:t>
      </w:r>
      <w:r w:rsidR="00255C7B" w:rsidRPr="00FE24C0">
        <w:t>In 2012</w:t>
      </w:r>
      <w:r w:rsidR="004A6A34" w:rsidRPr="00FE24C0">
        <w:t>,</w:t>
      </w:r>
      <w:r w:rsidR="00255C7B" w:rsidRPr="00FE24C0">
        <w:t xml:space="preserve"> </w:t>
      </w:r>
      <w:r w:rsidR="00CA2BEE" w:rsidRPr="00FE24C0">
        <w:t>three</w:t>
      </w:r>
      <w:r w:rsidR="007E3305" w:rsidRPr="00FE24C0">
        <w:t xml:space="preserve"> proposals have been formally presented </w:t>
      </w:r>
      <w:r w:rsidR="00A16620" w:rsidRPr="00FE24C0">
        <w:t xml:space="preserve">by various deputies </w:t>
      </w:r>
      <w:r w:rsidR="007E3305" w:rsidRPr="00FE24C0">
        <w:t>to the National Congress</w:t>
      </w:r>
      <w:r w:rsidR="00BE7CA2" w:rsidRPr="00FE24C0">
        <w:t>.</w:t>
      </w:r>
      <w:r w:rsidR="007E3305" w:rsidRPr="00FE24C0">
        <w:t xml:space="preserve"> </w:t>
      </w:r>
      <w:r w:rsidR="0067213A" w:rsidRPr="00FE24C0">
        <w:t xml:space="preserve"> </w:t>
      </w:r>
      <w:r w:rsidR="00E76700" w:rsidRPr="00FE24C0">
        <w:t>The first proposal presented in April 2012 by the Senator Daniel Pérsico recommend</w:t>
      </w:r>
      <w:r w:rsidR="000D4BD7" w:rsidRPr="00FE24C0">
        <w:t>s</w:t>
      </w:r>
      <w:r w:rsidR="00E76700" w:rsidRPr="00FE24C0">
        <w:t xml:space="preserve"> the formation of an Office of Integral Agricultural Crop and Livestock Insurance</w:t>
      </w:r>
      <w:r w:rsidR="0063432F" w:rsidRPr="00FE24C0">
        <w:rPr>
          <w:rStyle w:val="Refdenotaalpie"/>
        </w:rPr>
        <w:footnoteReference w:id="8"/>
      </w:r>
      <w:r w:rsidR="00E76700" w:rsidRPr="00FE24C0">
        <w:t xml:space="preserve"> under the control of the SSN</w:t>
      </w:r>
      <w:r w:rsidR="0063432F" w:rsidRPr="00FE24C0">
        <w:t>.  The new</w:t>
      </w:r>
      <w:r w:rsidR="00E76700" w:rsidRPr="00FE24C0">
        <w:t xml:space="preserve"> </w:t>
      </w:r>
      <w:r w:rsidR="0063432F" w:rsidRPr="00FE24C0">
        <w:t xml:space="preserve">office would be responsible for developing comprehensive crop and livestock covers </w:t>
      </w:r>
      <w:r w:rsidR="00E76700" w:rsidRPr="00FE24C0">
        <w:t xml:space="preserve">and </w:t>
      </w:r>
      <w:r w:rsidR="0063432F" w:rsidRPr="00FE24C0">
        <w:t>for regulating this class of insurance: it is envisaged that all farmers would be required to take up agricultural insurance cover within the next 5 years, and in cases where small farmers could not afford insurance cover that the state would provide premium subsidies up to maximum of 50% of the cost of the premium.</w:t>
      </w:r>
      <w:r w:rsidR="00E76700" w:rsidRPr="00FE24C0">
        <w:t xml:space="preserve">  </w:t>
      </w:r>
      <w:r w:rsidR="0063432F" w:rsidRPr="00FE24C0">
        <w:t>The second</w:t>
      </w:r>
      <w:r w:rsidR="004A6A34" w:rsidRPr="00FE24C0">
        <w:t xml:space="preserve"> proposal </w:t>
      </w:r>
      <w:r w:rsidR="00C559B4" w:rsidRPr="00FE24C0">
        <w:t>(A</w:t>
      </w:r>
      <w:r w:rsidR="00A16620" w:rsidRPr="00FE24C0">
        <w:t>l</w:t>
      </w:r>
      <w:r w:rsidR="00C559B4" w:rsidRPr="00FE24C0">
        <w:t xml:space="preserve">onso 2012, </w:t>
      </w:r>
      <w:r w:rsidR="00A16620" w:rsidRPr="00FE24C0">
        <w:t xml:space="preserve">Bill </w:t>
      </w:r>
      <w:r w:rsidR="00C559B4" w:rsidRPr="00FE24C0">
        <w:t xml:space="preserve">File No. 2320-D-2-12) recommends the </w:t>
      </w:r>
      <w:r w:rsidR="00783C4B" w:rsidRPr="00FE24C0">
        <w:t>creat</w:t>
      </w:r>
      <w:r w:rsidR="00C559B4" w:rsidRPr="00FE24C0">
        <w:t>ion of</w:t>
      </w:r>
      <w:r w:rsidR="00783C4B" w:rsidRPr="00FE24C0">
        <w:t xml:space="preserve"> a National </w:t>
      </w:r>
      <w:r w:rsidR="00935458" w:rsidRPr="00FE24C0">
        <w:t xml:space="preserve">Insurance of Predictable </w:t>
      </w:r>
      <w:r w:rsidR="00783C4B" w:rsidRPr="00FE24C0">
        <w:t>Multi-Risk</w:t>
      </w:r>
      <w:r w:rsidR="00935458" w:rsidRPr="00FE24C0">
        <w:t>s in</w:t>
      </w:r>
      <w:r w:rsidR="00BE7CA2" w:rsidRPr="00FE24C0">
        <w:t xml:space="preserve"> Agricultur</w:t>
      </w:r>
      <w:r w:rsidR="00935458" w:rsidRPr="00FE24C0">
        <w:t>e</w:t>
      </w:r>
      <w:r w:rsidR="00BE7CA2" w:rsidRPr="00FE24C0">
        <w:t xml:space="preserve"> </w:t>
      </w:r>
      <w:r w:rsidR="00783C4B" w:rsidRPr="00FE24C0">
        <w:t>(SEMUNA)</w:t>
      </w:r>
      <w:r w:rsidR="00BE7CA2" w:rsidRPr="00FE24C0">
        <w:rPr>
          <w:rStyle w:val="Refdenotaalpie"/>
        </w:rPr>
        <w:footnoteReference w:id="9"/>
      </w:r>
      <w:r w:rsidR="00791607" w:rsidRPr="00FE24C0">
        <w:t xml:space="preserve"> </w:t>
      </w:r>
      <w:r w:rsidR="00255C7B" w:rsidRPr="00FE24C0">
        <w:t xml:space="preserve">program </w:t>
      </w:r>
      <w:r w:rsidR="00791607" w:rsidRPr="00FE24C0">
        <w:t>which would be a voluntary program for insurers and farmers alike</w:t>
      </w:r>
      <w:r w:rsidR="00A95A36" w:rsidRPr="00FE24C0">
        <w:t xml:space="preserve">. This program </w:t>
      </w:r>
      <w:r w:rsidR="00791607" w:rsidRPr="00FE24C0">
        <w:t>would</w:t>
      </w:r>
      <w:r w:rsidR="00BE7CA2" w:rsidRPr="00FE24C0">
        <w:t xml:space="preserve"> </w:t>
      </w:r>
      <w:r w:rsidR="00A95A36" w:rsidRPr="00FE24C0">
        <w:t xml:space="preserve">also </w:t>
      </w:r>
      <w:r w:rsidR="00BE7CA2" w:rsidRPr="00FE24C0">
        <w:t>provide multiple peril cover against the loss of production costs of crops (and forestry)</w:t>
      </w:r>
      <w:r w:rsidR="00791607" w:rsidRPr="00FE24C0">
        <w:t xml:space="preserve"> </w:t>
      </w:r>
      <w:r w:rsidR="00255C7B" w:rsidRPr="00FE24C0">
        <w:t xml:space="preserve">and which would also insure livestock against death or slaughter due to reasons outside the producer’s control. The program would </w:t>
      </w:r>
      <w:r w:rsidR="00C559B4" w:rsidRPr="00FE24C0">
        <w:t>att</w:t>
      </w:r>
      <w:r w:rsidR="00255C7B" w:rsidRPr="00FE24C0">
        <w:t xml:space="preserve">ract premium subsidies of up to 50% of the premium and </w:t>
      </w:r>
      <w:r w:rsidR="00C559B4" w:rsidRPr="00FE24C0">
        <w:t xml:space="preserve">for small farmers possibly as high as 100% of the premium. </w:t>
      </w:r>
      <w:r w:rsidR="0063432F" w:rsidRPr="00FE24C0">
        <w:t xml:space="preserve">Finally, </w:t>
      </w:r>
      <w:r w:rsidR="00C559B4" w:rsidRPr="00FE24C0">
        <w:t xml:space="preserve">(Buryaile et al 2012, </w:t>
      </w:r>
      <w:r w:rsidR="00A16620" w:rsidRPr="00FE24C0">
        <w:t xml:space="preserve">Bill </w:t>
      </w:r>
      <w:r w:rsidR="00C559B4" w:rsidRPr="00FE24C0">
        <w:t xml:space="preserve">File No 2970-D-2012) propose </w:t>
      </w:r>
      <w:r w:rsidR="00A16620" w:rsidRPr="00FE24C0">
        <w:t xml:space="preserve">the formation of a Basic Agricultural Crop and Livestock and Forestry (BAF) program </w:t>
      </w:r>
      <w:r w:rsidR="0063432F" w:rsidRPr="00FE24C0">
        <w:t xml:space="preserve">, </w:t>
      </w:r>
      <w:r w:rsidR="00A16620" w:rsidRPr="00FE24C0">
        <w:t>which would again be a voluntary insurance program underwritten by the commercial ins</w:t>
      </w:r>
      <w:r w:rsidR="00346A49" w:rsidRPr="00FE24C0">
        <w:t>urance sector. In this case, far</w:t>
      </w:r>
      <w:r w:rsidR="00A16620" w:rsidRPr="00FE24C0">
        <w:t xml:space="preserve">mers would pay </w:t>
      </w:r>
      <w:r w:rsidR="00346A49" w:rsidRPr="00FE24C0">
        <w:t>a base-level premium for each crop in each zone and a Special Fund for the Insurance of Natural Risks would be created to finance the difference between the technically calculated premium rates and the base rates for each crop.</w:t>
      </w:r>
      <w:r w:rsidR="00A15B5F" w:rsidRPr="00FE24C0">
        <w:t xml:space="preserve">  Currently these draft bills are still under discussion by Congress.</w:t>
      </w:r>
      <w:r w:rsidR="00CA7B5E" w:rsidRPr="00FE24C0">
        <w:t xml:space="preserve">  </w:t>
      </w:r>
    </w:p>
    <w:p w:rsidR="00A54CF6" w:rsidRPr="00FE24C0" w:rsidRDefault="00D77528" w:rsidP="00C418DE">
      <w:pPr>
        <w:pStyle w:val="WBReport"/>
      </w:pPr>
      <w:r w:rsidRPr="00FE24C0">
        <w:rPr>
          <w:b/>
          <w:i/>
        </w:rPr>
        <w:t>Going forward, i</w:t>
      </w:r>
      <w:r w:rsidR="00CA7B5E" w:rsidRPr="00FE24C0">
        <w:rPr>
          <w:b/>
          <w:i/>
        </w:rPr>
        <w:t xml:space="preserve">t will be very important to monitor closely the outcome of Congress’s </w:t>
      </w:r>
      <w:r w:rsidRPr="00FE24C0">
        <w:rPr>
          <w:b/>
          <w:i/>
        </w:rPr>
        <w:t xml:space="preserve">deliberations over </w:t>
      </w:r>
      <w:r w:rsidR="00CA7B5E" w:rsidRPr="00FE24C0">
        <w:rPr>
          <w:b/>
          <w:i/>
        </w:rPr>
        <w:t xml:space="preserve">a national voluntary or compulsory </w:t>
      </w:r>
      <w:r w:rsidRPr="00FE24C0">
        <w:rPr>
          <w:b/>
          <w:i/>
        </w:rPr>
        <w:t xml:space="preserve">agricultural insurance program </w:t>
      </w:r>
      <w:r w:rsidR="001A24FC" w:rsidRPr="00FE24C0">
        <w:t xml:space="preserve">and the implications for the pasture index-based insurance proposals for livestock producers located in SWBA Province which </w:t>
      </w:r>
      <w:proofErr w:type="gramStart"/>
      <w:r w:rsidR="001A24FC" w:rsidRPr="00FE24C0">
        <w:t>are</w:t>
      </w:r>
      <w:proofErr w:type="gramEnd"/>
      <w:r w:rsidR="001A24FC" w:rsidRPr="00FE24C0">
        <w:t xml:space="preserve"> set out in this World Bank feasibility study report</w:t>
      </w:r>
      <w:r w:rsidRPr="00FE24C0">
        <w:t>.</w:t>
      </w:r>
    </w:p>
    <w:p w:rsidR="005A6F83" w:rsidRDefault="005A6F83" w:rsidP="00C16F94">
      <w:pPr>
        <w:pStyle w:val="Subttulo"/>
        <w:numPr>
          <w:ilvl w:val="0"/>
          <w:numId w:val="0"/>
        </w:numPr>
        <w:rPr>
          <w:rFonts w:cs="Times New Roman"/>
        </w:rPr>
      </w:pPr>
    </w:p>
    <w:p w:rsidR="00A54CF6" w:rsidRPr="00C16F94" w:rsidRDefault="00A54CF6" w:rsidP="00C16F94">
      <w:pPr>
        <w:pStyle w:val="Subttulo"/>
        <w:numPr>
          <w:ilvl w:val="0"/>
          <w:numId w:val="0"/>
        </w:numPr>
        <w:rPr>
          <w:rFonts w:cs="Times New Roman"/>
        </w:rPr>
      </w:pPr>
      <w:bookmarkStart w:id="8" w:name="_Toc345794250"/>
      <w:r w:rsidRPr="00C16F94">
        <w:rPr>
          <w:rFonts w:cs="Times New Roman"/>
        </w:rPr>
        <w:lastRenderedPageBreak/>
        <w:t>Remote Sensing Applications to Pasture Insurance</w:t>
      </w:r>
      <w:bookmarkEnd w:id="8"/>
    </w:p>
    <w:p w:rsidR="001F0512" w:rsidRPr="00FE24C0" w:rsidRDefault="001F0512" w:rsidP="00C418DE">
      <w:pPr>
        <w:pStyle w:val="WBReport"/>
      </w:pPr>
      <w:r w:rsidRPr="00FE24C0">
        <w:rPr>
          <w:b/>
          <w:i/>
        </w:rPr>
        <w:t>In the past decade, several countries have developed remote sensing pasture index</w:t>
      </w:r>
      <w:r w:rsidR="009E48C1" w:rsidRPr="00FE24C0">
        <w:rPr>
          <w:b/>
          <w:i/>
        </w:rPr>
        <w:t>-based</w:t>
      </w:r>
      <w:r w:rsidRPr="00FE24C0">
        <w:rPr>
          <w:b/>
          <w:i/>
        </w:rPr>
        <w:t xml:space="preserve"> insurance programs and Government of Argentina is keen to dev</w:t>
      </w:r>
      <w:r w:rsidR="009C6667" w:rsidRPr="00FE24C0">
        <w:rPr>
          <w:b/>
          <w:i/>
        </w:rPr>
        <w:t>e</w:t>
      </w:r>
      <w:r w:rsidRPr="00FE24C0">
        <w:rPr>
          <w:b/>
          <w:i/>
        </w:rPr>
        <w:t>lop a s</w:t>
      </w:r>
      <w:r w:rsidR="009E48C1" w:rsidRPr="00FE24C0">
        <w:rPr>
          <w:b/>
          <w:i/>
        </w:rPr>
        <w:t>imilar</w:t>
      </w:r>
      <w:r w:rsidRPr="00FE24C0">
        <w:rPr>
          <w:b/>
          <w:i/>
        </w:rPr>
        <w:t xml:space="preserve"> cover for livestock producers, starting with cattle producers located in SWBA.</w:t>
      </w:r>
      <w:r w:rsidRPr="00FE24C0">
        <w:t xml:space="preserve"> In the past decade</w:t>
      </w:r>
      <w:r w:rsidR="00A95A36" w:rsidRPr="00FE24C0">
        <w:t>,</w:t>
      </w:r>
      <w:r w:rsidRPr="00FE24C0">
        <w:t xml:space="preserve"> sev</w:t>
      </w:r>
      <w:r w:rsidR="007E71ED" w:rsidRPr="00FE24C0">
        <w:t>era</w:t>
      </w:r>
      <w:r w:rsidRPr="00FE24C0">
        <w:t>l countries including the USA, Can</w:t>
      </w:r>
      <w:r w:rsidR="007E71ED" w:rsidRPr="00FE24C0">
        <w:t>a</w:t>
      </w:r>
      <w:r w:rsidRPr="00FE24C0">
        <w:t xml:space="preserve">da, Spain and Mexico have developed commercial </w:t>
      </w:r>
      <w:r w:rsidR="007E71ED" w:rsidRPr="00FE24C0">
        <w:t xml:space="preserve">index-based </w:t>
      </w:r>
      <w:r w:rsidRPr="00FE24C0">
        <w:t xml:space="preserve">insurance programs to protect against </w:t>
      </w:r>
      <w:r w:rsidRPr="00FE24C0">
        <w:rPr>
          <w:color w:val="000000"/>
        </w:rPr>
        <w:t>mainly</w:t>
      </w:r>
      <w:r w:rsidRPr="00FE24C0">
        <w:t xml:space="preserve"> drought related losses in pasture</w:t>
      </w:r>
      <w:r w:rsidR="00A95A36" w:rsidRPr="00FE24C0">
        <w:t>. These programs use</w:t>
      </w:r>
      <w:r w:rsidRPr="00FE24C0">
        <w:t xml:space="preserve"> </w:t>
      </w:r>
      <w:r w:rsidR="007E71ED" w:rsidRPr="00FE24C0">
        <w:t xml:space="preserve">satellite-based </w:t>
      </w:r>
      <w:r w:rsidRPr="00FE24C0">
        <w:t>remote sens</w:t>
      </w:r>
      <w:r w:rsidR="007E71ED" w:rsidRPr="00FE24C0">
        <w:t xml:space="preserve">ors that measure the vegetative growth status of the pasture on a regular basis during the year. All these </w:t>
      </w:r>
      <w:r w:rsidR="00A109A4" w:rsidRPr="00FE24C0">
        <w:t>commercial</w:t>
      </w:r>
      <w:r w:rsidR="007E71ED" w:rsidRPr="00FE24C0">
        <w:t xml:space="preserve"> insurance </w:t>
      </w:r>
      <w:r w:rsidR="00451124" w:rsidRPr="00FE24C0">
        <w:t>programs are based on Normaliz</w:t>
      </w:r>
      <w:r w:rsidR="007E71ED" w:rsidRPr="00FE24C0">
        <w:t>ed Difference Vegetati</w:t>
      </w:r>
      <w:r w:rsidR="00B232C1" w:rsidRPr="00FE24C0">
        <w:t>on</w:t>
      </w:r>
      <w:r w:rsidR="007E71ED" w:rsidRPr="00FE24C0">
        <w:t xml:space="preserve"> Indexes (NDVI).</w:t>
      </w:r>
      <w:r w:rsidR="009C6667" w:rsidRPr="00FE24C0">
        <w:t xml:space="preserve"> The covers are designed </w:t>
      </w:r>
      <w:r w:rsidR="00A109A4" w:rsidRPr="00FE24C0">
        <w:t xml:space="preserve">(i) </w:t>
      </w:r>
      <w:r w:rsidR="009C6667" w:rsidRPr="00FE24C0">
        <w:t xml:space="preserve">to provide timely payouts in the event of severe losses </w:t>
      </w:r>
      <w:r w:rsidR="009E48C1" w:rsidRPr="00FE24C0">
        <w:t>in</w:t>
      </w:r>
      <w:r w:rsidR="009C6667" w:rsidRPr="00FE24C0">
        <w:t xml:space="preserve"> pasture production and grazing quality</w:t>
      </w:r>
      <w:r w:rsidR="00A109A4" w:rsidRPr="00FE24C0">
        <w:t>;</w:t>
      </w:r>
      <w:r w:rsidR="009C6667" w:rsidRPr="00FE24C0">
        <w:t xml:space="preserve"> and </w:t>
      </w:r>
      <w:r w:rsidR="00A109A4" w:rsidRPr="00FE24C0">
        <w:t xml:space="preserve">(ii) </w:t>
      </w:r>
      <w:r w:rsidR="009C6667" w:rsidRPr="00FE24C0">
        <w:t>to ena</w:t>
      </w:r>
      <w:r w:rsidR="00451124" w:rsidRPr="00FE24C0">
        <w:t>ble livestock producers in the a</w:t>
      </w:r>
      <w:r w:rsidR="009C6667" w:rsidRPr="00FE24C0">
        <w:t>ffected zones to purchase supplementary feeds in order to maintain their herds rather than being forced to sell their animals.</w:t>
      </w:r>
    </w:p>
    <w:p w:rsidR="00A15B5F" w:rsidRPr="00FE24C0" w:rsidRDefault="00A15B5F" w:rsidP="00C418DE">
      <w:pPr>
        <w:pStyle w:val="WBReport"/>
      </w:pPr>
      <w:r w:rsidRPr="00FE24C0">
        <w:rPr>
          <w:b/>
          <w:i/>
        </w:rPr>
        <w:t xml:space="preserve">In Argentina the </w:t>
      </w:r>
      <w:r w:rsidR="001A24FC" w:rsidRPr="00FE24C0">
        <w:rPr>
          <w:b/>
          <w:i/>
        </w:rPr>
        <w:t>Agricultur</w:t>
      </w:r>
      <w:r w:rsidR="00A109A4" w:rsidRPr="00FE24C0">
        <w:rPr>
          <w:b/>
          <w:i/>
        </w:rPr>
        <w:t>al</w:t>
      </w:r>
      <w:r w:rsidRPr="00FE24C0">
        <w:rPr>
          <w:b/>
          <w:i/>
        </w:rPr>
        <w:t xml:space="preserve"> Risk Office (ORA</w:t>
      </w:r>
      <w:r w:rsidR="00A109A4" w:rsidRPr="00FE24C0">
        <w:rPr>
          <w:b/>
          <w:i/>
        </w:rPr>
        <w:t>-MAGyP</w:t>
      </w:r>
      <w:r w:rsidRPr="00FE24C0">
        <w:rPr>
          <w:b/>
          <w:i/>
        </w:rPr>
        <w:t>)</w:t>
      </w:r>
      <w:r w:rsidR="001A24FC" w:rsidRPr="00FE24C0">
        <w:rPr>
          <w:b/>
          <w:i/>
        </w:rPr>
        <w:t xml:space="preserve"> has since 2008 been exploring options for developing similar NDVI insurance</w:t>
      </w:r>
      <w:r w:rsidRPr="00FE24C0">
        <w:t xml:space="preserve"> to protect the livestock sector against severe drought and other natural perils in natural pasture</w:t>
      </w:r>
      <w:r w:rsidR="00CA7B5E" w:rsidRPr="00FE24C0">
        <w:t xml:space="preserve"> lands</w:t>
      </w:r>
      <w:r w:rsidR="00D77528" w:rsidRPr="00FE24C0">
        <w:t>, starting with cattle producers located in SWBA Province</w:t>
      </w:r>
      <w:r w:rsidRPr="00FE24C0">
        <w:t>.</w:t>
      </w:r>
    </w:p>
    <w:p w:rsidR="004A127C" w:rsidRPr="00C16F94" w:rsidRDefault="004A127C" w:rsidP="00C16F94">
      <w:pPr>
        <w:pStyle w:val="Subttulo"/>
        <w:numPr>
          <w:ilvl w:val="0"/>
          <w:numId w:val="0"/>
        </w:numPr>
        <w:rPr>
          <w:rFonts w:cs="Times New Roman"/>
        </w:rPr>
      </w:pPr>
      <w:bookmarkStart w:id="9" w:name="_Toc345794251"/>
      <w:r w:rsidRPr="00FE24C0">
        <w:rPr>
          <w:rFonts w:cs="Times New Roman"/>
        </w:rPr>
        <w:t>Government of Argentina Request to World Bank</w:t>
      </w:r>
      <w:r w:rsidR="00F709A9" w:rsidRPr="00FE24C0">
        <w:rPr>
          <w:rFonts w:cs="Times New Roman"/>
        </w:rPr>
        <w:t xml:space="preserve"> and </w:t>
      </w:r>
      <w:r w:rsidR="00DF3794" w:rsidRPr="00FE24C0">
        <w:rPr>
          <w:rFonts w:cs="Times New Roman"/>
        </w:rPr>
        <w:t>Scope</w:t>
      </w:r>
      <w:r w:rsidR="00F016E1" w:rsidRPr="00FE24C0">
        <w:rPr>
          <w:rFonts w:cs="Times New Roman"/>
        </w:rPr>
        <w:t xml:space="preserve"> of the Study</w:t>
      </w:r>
      <w:bookmarkEnd w:id="9"/>
    </w:p>
    <w:p w:rsidR="009E48C1" w:rsidRPr="00FE24C0" w:rsidRDefault="009C6667" w:rsidP="00C418DE">
      <w:pPr>
        <w:pStyle w:val="WBReport"/>
      </w:pPr>
      <w:r w:rsidRPr="00FE24C0">
        <w:rPr>
          <w:b/>
          <w:i/>
        </w:rPr>
        <w:t>I</w:t>
      </w:r>
      <w:r w:rsidR="007E71ED" w:rsidRPr="00FE24C0">
        <w:rPr>
          <w:b/>
          <w:i/>
        </w:rPr>
        <w:t xml:space="preserve">n </w:t>
      </w:r>
      <w:r w:rsidR="00F016E1" w:rsidRPr="00FE24C0">
        <w:rPr>
          <w:b/>
          <w:i/>
        </w:rPr>
        <w:t xml:space="preserve">early </w:t>
      </w:r>
      <w:r w:rsidR="007E71ED" w:rsidRPr="00FE24C0">
        <w:rPr>
          <w:b/>
          <w:i/>
        </w:rPr>
        <w:t xml:space="preserve">2011, </w:t>
      </w:r>
      <w:r w:rsidR="00C821F6" w:rsidRPr="00FE24C0">
        <w:rPr>
          <w:b/>
          <w:i/>
        </w:rPr>
        <w:t>the</w:t>
      </w:r>
      <w:r w:rsidR="00992195" w:rsidRPr="00FE24C0">
        <w:rPr>
          <w:b/>
          <w:i/>
        </w:rPr>
        <w:t xml:space="preserve"> Government of Argentina</w:t>
      </w:r>
      <w:r w:rsidRPr="00FE24C0">
        <w:rPr>
          <w:b/>
          <w:i/>
        </w:rPr>
        <w:t xml:space="preserve"> through the Ministry of Agriculture, Livestock and Fisheries (</w:t>
      </w:r>
      <w:r w:rsidR="00AD4EDA" w:rsidRPr="00FE24C0">
        <w:rPr>
          <w:b/>
          <w:i/>
        </w:rPr>
        <w:t>MAGyP</w:t>
      </w:r>
      <w:r w:rsidRPr="00FE24C0">
        <w:rPr>
          <w:b/>
          <w:i/>
        </w:rPr>
        <w:t>)</w:t>
      </w:r>
      <w:r w:rsidR="00992195" w:rsidRPr="00FE24C0">
        <w:rPr>
          <w:b/>
          <w:i/>
        </w:rPr>
        <w:t xml:space="preserve">, </w:t>
      </w:r>
      <w:r w:rsidR="00C821F6" w:rsidRPr="00FE24C0">
        <w:rPr>
          <w:b/>
          <w:i/>
        </w:rPr>
        <w:t xml:space="preserve">requested the </w:t>
      </w:r>
      <w:r w:rsidR="00992195" w:rsidRPr="00FE24C0">
        <w:rPr>
          <w:b/>
          <w:i/>
        </w:rPr>
        <w:t xml:space="preserve">World Bank to </w:t>
      </w:r>
      <w:r w:rsidR="00C821F6" w:rsidRPr="00FE24C0">
        <w:rPr>
          <w:b/>
          <w:i/>
        </w:rPr>
        <w:t>conduct</w:t>
      </w:r>
      <w:r w:rsidR="00992195" w:rsidRPr="00FE24C0">
        <w:rPr>
          <w:b/>
          <w:i/>
        </w:rPr>
        <w:t xml:space="preserve"> a </w:t>
      </w:r>
      <w:r w:rsidR="00C821F6" w:rsidRPr="00FE24C0">
        <w:rPr>
          <w:b/>
          <w:i/>
        </w:rPr>
        <w:t>feasibility study</w:t>
      </w:r>
      <w:r w:rsidR="00992195" w:rsidRPr="00FE24C0">
        <w:rPr>
          <w:b/>
          <w:i/>
        </w:rPr>
        <w:t xml:space="preserve"> for the development of </w:t>
      </w:r>
      <w:r w:rsidR="00C821F6" w:rsidRPr="00FE24C0">
        <w:rPr>
          <w:b/>
          <w:i/>
        </w:rPr>
        <w:t xml:space="preserve">a suitable </w:t>
      </w:r>
      <w:r w:rsidR="00992195" w:rsidRPr="00FE24C0">
        <w:rPr>
          <w:b/>
          <w:i/>
        </w:rPr>
        <w:t xml:space="preserve">index-based </w:t>
      </w:r>
      <w:r w:rsidR="006E54DE" w:rsidRPr="00FE24C0">
        <w:rPr>
          <w:b/>
          <w:i/>
        </w:rPr>
        <w:t>agricultural</w:t>
      </w:r>
      <w:r w:rsidR="00992195" w:rsidRPr="00FE24C0">
        <w:rPr>
          <w:b/>
          <w:i/>
        </w:rPr>
        <w:t xml:space="preserve"> insurance product</w:t>
      </w:r>
      <w:r w:rsidR="00C821F6" w:rsidRPr="00FE24C0">
        <w:rPr>
          <w:b/>
          <w:i/>
        </w:rPr>
        <w:t xml:space="preserve"> to protect cattle producers located in SWBA against severe drought and other climatic losses in their pasture and natural grazing</w:t>
      </w:r>
      <w:r w:rsidR="00992195" w:rsidRPr="00FE24C0">
        <w:rPr>
          <w:b/>
          <w:i/>
        </w:rPr>
        <w:t>.</w:t>
      </w:r>
      <w:r w:rsidR="00992195" w:rsidRPr="00FE24C0">
        <w:t xml:space="preserve"> </w:t>
      </w:r>
      <w:r w:rsidR="007E71ED" w:rsidRPr="00FE24C0">
        <w:t>The specific com</w:t>
      </w:r>
      <w:r w:rsidR="00C821F6" w:rsidRPr="00FE24C0">
        <w:t xml:space="preserve">ponents of this </w:t>
      </w:r>
      <w:r w:rsidR="00C821F6" w:rsidRPr="00FE24C0">
        <w:rPr>
          <w:color w:val="000000"/>
        </w:rPr>
        <w:t>study</w:t>
      </w:r>
      <w:r w:rsidR="00C821F6" w:rsidRPr="00FE24C0">
        <w:t xml:space="preserve"> included</w:t>
      </w:r>
      <w:r w:rsidRPr="00FE24C0">
        <w:t xml:space="preserve">: </w:t>
      </w:r>
      <w:r w:rsidR="00C821F6" w:rsidRPr="00FE24C0">
        <w:t>(</w:t>
      </w:r>
      <w:r w:rsidR="00992195" w:rsidRPr="00FE24C0">
        <w:t>i)</w:t>
      </w:r>
      <w:r w:rsidR="00C821F6" w:rsidRPr="00FE24C0">
        <w:t xml:space="preserve"> </w:t>
      </w:r>
      <w:r w:rsidRPr="00FE24C0">
        <w:t xml:space="preserve">to </w:t>
      </w:r>
      <w:r w:rsidR="00C821F6" w:rsidRPr="00FE24C0">
        <w:t xml:space="preserve">assist </w:t>
      </w:r>
      <w:r w:rsidRPr="00FE24C0">
        <w:t xml:space="preserve">the </w:t>
      </w:r>
      <w:r w:rsidR="006E54DE" w:rsidRPr="00FE24C0">
        <w:t>Agricultural</w:t>
      </w:r>
      <w:r w:rsidR="00451124" w:rsidRPr="00FE24C0">
        <w:t xml:space="preserve"> Risk </w:t>
      </w:r>
      <w:r w:rsidRPr="00FE24C0">
        <w:t xml:space="preserve">Office </w:t>
      </w:r>
      <w:r w:rsidR="00A109A4" w:rsidRPr="00FE24C0">
        <w:t>(</w:t>
      </w:r>
      <w:r w:rsidRPr="00FE24C0">
        <w:t>ORA</w:t>
      </w:r>
      <w:r w:rsidR="00C821F6" w:rsidRPr="00FE24C0">
        <w:t>-</w:t>
      </w:r>
      <w:r w:rsidR="00AD4EDA" w:rsidRPr="00FE24C0">
        <w:t>MAGyP</w:t>
      </w:r>
      <w:r w:rsidR="00A109A4" w:rsidRPr="00FE24C0">
        <w:t>)</w:t>
      </w:r>
      <w:r w:rsidR="00C821F6" w:rsidRPr="00FE24C0">
        <w:t xml:space="preserve"> in the </w:t>
      </w:r>
      <w:r w:rsidR="00992195" w:rsidRPr="00FE24C0">
        <w:t xml:space="preserve">design and </w:t>
      </w:r>
      <w:r w:rsidR="00C821F6" w:rsidRPr="00FE24C0">
        <w:t xml:space="preserve">rating and </w:t>
      </w:r>
      <w:r w:rsidR="00992195" w:rsidRPr="00FE24C0">
        <w:t>implementation</w:t>
      </w:r>
      <w:r w:rsidR="00C821F6" w:rsidRPr="00FE24C0">
        <w:t xml:space="preserve"> planning </w:t>
      </w:r>
      <w:r w:rsidR="00992195" w:rsidRPr="00FE24C0">
        <w:t xml:space="preserve">of </w:t>
      </w:r>
      <w:r w:rsidR="00C821F6" w:rsidRPr="00FE24C0">
        <w:t xml:space="preserve">an NDVI </w:t>
      </w:r>
      <w:r w:rsidR="00992195" w:rsidRPr="00FE24C0">
        <w:t xml:space="preserve">index-based insurance </w:t>
      </w:r>
      <w:r w:rsidR="00C821F6" w:rsidRPr="00FE24C0">
        <w:t>for cattle producers located in SWBA</w:t>
      </w:r>
      <w:r w:rsidR="00992195" w:rsidRPr="00FE24C0">
        <w:t xml:space="preserve">; (ii) </w:t>
      </w:r>
      <w:r w:rsidRPr="00FE24C0">
        <w:t xml:space="preserve">to </w:t>
      </w:r>
      <w:r w:rsidR="00992195" w:rsidRPr="00FE24C0">
        <w:t xml:space="preserve">develop a policy framework based on public-private partnerships, for the </w:t>
      </w:r>
      <w:r w:rsidR="00C821F6" w:rsidRPr="00FE24C0">
        <w:t>implement</w:t>
      </w:r>
      <w:r w:rsidR="00451124" w:rsidRPr="00FE24C0">
        <w:t>at</w:t>
      </w:r>
      <w:r w:rsidR="00C821F6" w:rsidRPr="00FE24C0">
        <w:t xml:space="preserve">ion </w:t>
      </w:r>
      <w:r w:rsidR="00992195" w:rsidRPr="00FE24C0">
        <w:t xml:space="preserve">of </w:t>
      </w:r>
      <w:r w:rsidR="00C252F6" w:rsidRPr="00FE24C0">
        <w:t xml:space="preserve">NDVI </w:t>
      </w:r>
      <w:r w:rsidR="00992195" w:rsidRPr="00FE24C0">
        <w:t xml:space="preserve">index based </w:t>
      </w:r>
      <w:r w:rsidR="006E54DE" w:rsidRPr="00FE24C0">
        <w:t>agricultural</w:t>
      </w:r>
      <w:r w:rsidR="00992195" w:rsidRPr="00FE24C0">
        <w:t xml:space="preserve"> insurance</w:t>
      </w:r>
      <w:r w:rsidR="00C252F6" w:rsidRPr="00FE24C0">
        <w:t xml:space="preserve"> in SWBA</w:t>
      </w:r>
      <w:r w:rsidR="00992195" w:rsidRPr="00FE24C0">
        <w:t xml:space="preserve">; (iii) </w:t>
      </w:r>
      <w:r w:rsidRPr="00FE24C0">
        <w:t xml:space="preserve">to </w:t>
      </w:r>
      <w:r w:rsidR="00992195" w:rsidRPr="00FE24C0">
        <w:t>provid</w:t>
      </w:r>
      <w:r w:rsidR="00C252F6" w:rsidRPr="00FE24C0">
        <w:t>e</w:t>
      </w:r>
      <w:r w:rsidR="00992195" w:rsidRPr="00FE24C0">
        <w:t xml:space="preserve"> </w:t>
      </w:r>
      <w:r w:rsidR="00AD4EDA" w:rsidRPr="00FE24C0">
        <w:t>MAGyP</w:t>
      </w:r>
      <w:r w:rsidR="00992195" w:rsidRPr="00FE24C0">
        <w:t xml:space="preserve"> and the private commercial insurance sector with capacity building on </w:t>
      </w:r>
      <w:r w:rsidR="00C252F6" w:rsidRPr="00FE24C0">
        <w:t xml:space="preserve">NDVI </w:t>
      </w:r>
      <w:r w:rsidR="00992195" w:rsidRPr="00FE24C0">
        <w:t>index</w:t>
      </w:r>
      <w:r w:rsidR="00451124" w:rsidRPr="00FE24C0">
        <w:t>-</w:t>
      </w:r>
      <w:r w:rsidR="00992195" w:rsidRPr="00FE24C0">
        <w:t xml:space="preserve">based </w:t>
      </w:r>
      <w:r w:rsidR="006E54DE" w:rsidRPr="00FE24C0">
        <w:t>agricultural</w:t>
      </w:r>
      <w:r w:rsidR="00992195" w:rsidRPr="00FE24C0">
        <w:t xml:space="preserve"> insurance; and </w:t>
      </w:r>
      <w:r w:rsidRPr="00FE24C0">
        <w:t xml:space="preserve">finally </w:t>
      </w:r>
      <w:r w:rsidR="00992195" w:rsidRPr="00FE24C0">
        <w:t xml:space="preserve">(iv) </w:t>
      </w:r>
      <w:r w:rsidRPr="00FE24C0">
        <w:t xml:space="preserve">to </w:t>
      </w:r>
      <w:r w:rsidR="00992195" w:rsidRPr="00FE24C0">
        <w:t>provid</w:t>
      </w:r>
      <w:r w:rsidR="00C252F6" w:rsidRPr="00FE24C0">
        <w:t>e</w:t>
      </w:r>
      <w:r w:rsidR="00992195" w:rsidRPr="00FE24C0">
        <w:t xml:space="preserve"> the national insurance regulator with capacity building on </w:t>
      </w:r>
      <w:r w:rsidR="00C252F6" w:rsidRPr="00FE24C0">
        <w:t xml:space="preserve">NDVI </w:t>
      </w:r>
      <w:r w:rsidR="00992195" w:rsidRPr="00FE24C0">
        <w:t>index-based insurance</w:t>
      </w:r>
      <w:r w:rsidR="007E71ED" w:rsidRPr="00FE24C0">
        <w:t>.</w:t>
      </w:r>
      <w:r w:rsidR="00CE4E3E" w:rsidRPr="00FE24C0">
        <w:t xml:space="preserve">  The NDVI pasture index insurance study </w:t>
      </w:r>
      <w:r w:rsidR="00F016E1" w:rsidRPr="00FE24C0">
        <w:t>was</w:t>
      </w:r>
      <w:r w:rsidR="00CE4E3E" w:rsidRPr="00FE24C0">
        <w:t xml:space="preserve"> implemented under the World Bank’s Non-Lending Technical Assi</w:t>
      </w:r>
      <w:r w:rsidR="00F016E1" w:rsidRPr="00FE24C0">
        <w:t>sta</w:t>
      </w:r>
      <w:r w:rsidR="00CE4E3E" w:rsidRPr="00FE24C0">
        <w:t xml:space="preserve">nce to </w:t>
      </w:r>
      <w:r w:rsidR="00AD4EDA" w:rsidRPr="00FE24C0">
        <w:t>MAGyP</w:t>
      </w:r>
      <w:r w:rsidR="00CE4E3E" w:rsidRPr="00FE24C0">
        <w:t xml:space="preserve">.  </w:t>
      </w:r>
    </w:p>
    <w:p w:rsidR="00E7555D" w:rsidRDefault="001A24FC" w:rsidP="00C418DE">
      <w:pPr>
        <w:pStyle w:val="WBReport"/>
      </w:pPr>
      <w:r w:rsidRPr="00FE24C0">
        <w:rPr>
          <w:b/>
          <w:i/>
        </w:rPr>
        <w:t xml:space="preserve">The </w:t>
      </w:r>
      <w:r w:rsidR="00E7555D">
        <w:rPr>
          <w:b/>
          <w:i/>
        </w:rPr>
        <w:t xml:space="preserve">Pasture NDVI </w:t>
      </w:r>
      <w:r w:rsidRPr="00FE24C0">
        <w:rPr>
          <w:b/>
          <w:i/>
        </w:rPr>
        <w:t xml:space="preserve">study is intended to support the </w:t>
      </w:r>
      <w:r w:rsidR="00A62AA3">
        <w:rPr>
          <w:b/>
          <w:i/>
        </w:rPr>
        <w:t xml:space="preserve">Second </w:t>
      </w:r>
      <w:r w:rsidRPr="00FE24C0">
        <w:rPr>
          <w:b/>
          <w:i/>
        </w:rPr>
        <w:t xml:space="preserve">Provincial Agricultural Services Program (PROSAP </w:t>
      </w:r>
      <w:r w:rsidR="00A62AA3">
        <w:rPr>
          <w:b/>
          <w:i/>
        </w:rPr>
        <w:t xml:space="preserve">II </w:t>
      </w:r>
      <w:r w:rsidRPr="00FE24C0">
        <w:rPr>
          <w:b/>
          <w:i/>
        </w:rPr>
        <w:t>in Spanish) which is co-financed by the World Bank</w:t>
      </w:r>
      <w:r w:rsidR="00DF3794" w:rsidRPr="00FE24C0">
        <w:rPr>
          <w:b/>
          <w:i/>
        </w:rPr>
        <w:t>.</w:t>
      </w:r>
      <w:r w:rsidR="00EA5650" w:rsidRPr="00FE24C0">
        <w:t xml:space="preserve"> </w:t>
      </w:r>
      <w:r w:rsidR="00A97965">
        <w:t xml:space="preserve">PROSAP is a national agricultural and livestock development program which is implemented through MAGyP and which receives a combination of federal and provincial funding as well as donor finance from the Inter-American Development Bank (IDB) and the World Bank. The program has been implemented since the </w:t>
      </w:r>
      <w:r w:rsidR="00B55831">
        <w:t>early</w:t>
      </w:r>
      <w:r w:rsidR="00A97965">
        <w:t xml:space="preserve">-1990s and </w:t>
      </w:r>
      <w:r w:rsidR="00B55831">
        <w:t>entered a second phase in 2006</w:t>
      </w:r>
      <w:r w:rsidR="00A97965">
        <w:t xml:space="preserve">. </w:t>
      </w:r>
      <w:r w:rsidR="00B55831">
        <w:t xml:space="preserve">In the past PROSAP has invested heavily in improving livestock santiation in Argentina including control of </w:t>
      </w:r>
      <w:r w:rsidR="009F23FD">
        <w:t>F</w:t>
      </w:r>
      <w:r w:rsidR="00B55831">
        <w:t xml:space="preserve">oot and </w:t>
      </w:r>
      <w:r w:rsidR="009F23FD">
        <w:t>M</w:t>
      </w:r>
      <w:r w:rsidR="00B55831">
        <w:t xml:space="preserve">outh </w:t>
      </w:r>
      <w:r w:rsidR="009F23FD">
        <w:t>D</w:t>
      </w:r>
      <w:r w:rsidR="00B55831">
        <w:t>isease (FMD) and investment in regional livestock sanitation centres equipped with laboritories and in the construction of balanced animal fed plants</w:t>
      </w:r>
      <w:r w:rsidR="00991832" w:rsidRPr="00FE24C0">
        <w:rPr>
          <w:rStyle w:val="Refdenotaalpie"/>
        </w:rPr>
        <w:footnoteReference w:id="10"/>
      </w:r>
      <w:r w:rsidR="00991832" w:rsidRPr="00FE24C0">
        <w:t xml:space="preserve">. </w:t>
      </w:r>
      <w:r w:rsidR="00E7555D">
        <w:t>Between 200</w:t>
      </w:r>
      <w:r w:rsidR="0091778B">
        <w:t>1</w:t>
      </w:r>
      <w:r w:rsidR="00E7555D">
        <w:t xml:space="preserve"> and 2005 PROSAP f</w:t>
      </w:r>
      <w:r w:rsidR="0091778B">
        <w:t>inanced</w:t>
      </w:r>
      <w:r w:rsidR="00E7555D">
        <w:t xml:space="preserve"> a sub-project titled Risk and Agricultural Insurance (</w:t>
      </w:r>
      <w:r w:rsidR="001D6076" w:rsidRPr="001D6076">
        <w:rPr>
          <w:i/>
        </w:rPr>
        <w:t>Rie</w:t>
      </w:r>
      <w:r w:rsidR="00E7555D">
        <w:rPr>
          <w:i/>
        </w:rPr>
        <w:t>s</w:t>
      </w:r>
      <w:r w:rsidR="001D6076" w:rsidRPr="001D6076">
        <w:rPr>
          <w:i/>
        </w:rPr>
        <w:t>go y Seguro Agropecuario</w:t>
      </w:r>
      <w:r w:rsidR="00E7555D">
        <w:t>)</w:t>
      </w:r>
      <w:r w:rsidR="0091778B">
        <w:t xml:space="preserve"> implemented through ORA, SAGyP</w:t>
      </w:r>
      <w:r w:rsidR="000E682F">
        <w:t xml:space="preserve">. This sub-project </w:t>
      </w:r>
      <w:r w:rsidR="0091778B">
        <w:t xml:space="preserve">contained </w:t>
      </w:r>
      <w:r w:rsidR="000E682F">
        <w:t xml:space="preserve">two main components: 1) to establish an integrated management information system aimed at </w:t>
      </w:r>
      <w:r w:rsidR="00E43164">
        <w:t xml:space="preserve">the </w:t>
      </w:r>
      <w:r w:rsidR="000E682F">
        <w:t xml:space="preserve">analysis </w:t>
      </w:r>
      <w:r w:rsidR="00E43164">
        <w:lastRenderedPageBreak/>
        <w:t xml:space="preserve">of </w:t>
      </w:r>
      <w:r w:rsidR="000E682F">
        <w:t>agroclimatic risk, economic risk and market risk, and 2) Institutional strengthening to assist the public and private sectors to develop and strengthen the agricultural insurance market in Argentina</w:t>
      </w:r>
      <w:r w:rsidR="000E682F">
        <w:rPr>
          <w:rStyle w:val="Refdenotaalpie"/>
        </w:rPr>
        <w:footnoteReference w:id="11"/>
      </w:r>
      <w:r w:rsidR="000E682F">
        <w:t xml:space="preserve">. </w:t>
      </w:r>
      <w:r w:rsidR="007523E4">
        <w:t>The current study aims to build on the ORA’s earlier experience by assisting the organization to design and rate a new innovative pasture NDVI index insurance cover for livestock producers located in SWBA.</w:t>
      </w:r>
    </w:p>
    <w:p w:rsidR="00992195" w:rsidRPr="00FE24C0" w:rsidRDefault="001D6076" w:rsidP="00C418DE">
      <w:pPr>
        <w:pStyle w:val="WBReport"/>
      </w:pPr>
      <w:r w:rsidRPr="001D6076">
        <w:rPr>
          <w:b/>
          <w:i/>
        </w:rPr>
        <w:t xml:space="preserve">The NDVI pasture index insurance technical assistance is also intended to support the Increasing Climate Resilience and Enhancement Sustainable Land Management in the Southwest of the Buenos Aires </w:t>
      </w:r>
      <w:r w:rsidRPr="001D6076">
        <w:rPr>
          <w:b/>
          <w:i/>
          <w:color w:val="000000"/>
        </w:rPr>
        <w:t>Province</w:t>
      </w:r>
      <w:r w:rsidRPr="001D6076">
        <w:rPr>
          <w:b/>
          <w:i/>
        </w:rPr>
        <w:t xml:space="preserve"> Project (P125804).</w:t>
      </w:r>
      <w:r w:rsidR="00E7555D">
        <w:t xml:space="preserve">  </w:t>
      </w:r>
      <w:r w:rsidR="00E7555D">
        <w:rPr>
          <w:lang w:val="en-GB"/>
        </w:rPr>
        <w:t xml:space="preserve">The key objective of the </w:t>
      </w:r>
      <w:r w:rsidR="00E7555D" w:rsidRPr="009D2568">
        <w:t>Increasing Climate Resilience and Enhancement Sustainable Land Management in the Southwest of the Buenos Aires Province Project</w:t>
      </w:r>
      <w:r w:rsidR="00E7555D">
        <w:rPr>
          <w:szCs w:val="22"/>
        </w:rPr>
        <w:t xml:space="preserve"> </w:t>
      </w:r>
      <w:r w:rsidR="00E7555D">
        <w:rPr>
          <w:lang w:val="en-GB"/>
        </w:rPr>
        <w:t>is to reduce the vulnerability of the agricultural sector in SWBA Province by increasing adaptive capacity of key local institutions and actors, and piloting climate resilient and sustainable land management practices. The project is being coordinated by the National Secretariat of Environment and Sustainable Development (SAyDS) and the Provincial Agency of Sustainable Development of Buenos Aires (World Bank PIDA355, 6 April 2012).</w:t>
      </w:r>
    </w:p>
    <w:p w:rsidR="002028B9" w:rsidRDefault="000A6819" w:rsidP="00C418DE">
      <w:pPr>
        <w:pStyle w:val="WBReport"/>
      </w:pPr>
      <w:r w:rsidRPr="00FE24C0">
        <w:rPr>
          <w:b/>
          <w:i/>
        </w:rPr>
        <w:t xml:space="preserve">This </w:t>
      </w:r>
      <w:r w:rsidR="008B4FB8" w:rsidRPr="00FE24C0">
        <w:rPr>
          <w:b/>
          <w:i/>
        </w:rPr>
        <w:t xml:space="preserve">report presents the findings and recommendations </w:t>
      </w:r>
      <w:r w:rsidR="00992195" w:rsidRPr="00FE24C0">
        <w:rPr>
          <w:b/>
          <w:i/>
        </w:rPr>
        <w:t xml:space="preserve">of the feasibility study </w:t>
      </w:r>
      <w:r w:rsidR="008B4FB8" w:rsidRPr="00FE24C0">
        <w:rPr>
          <w:b/>
          <w:i/>
        </w:rPr>
        <w:t xml:space="preserve">for the introduction of a macro-level pasture NDVI index </w:t>
      </w:r>
      <w:r w:rsidR="00DF3794" w:rsidRPr="00FE24C0">
        <w:rPr>
          <w:b/>
          <w:i/>
        </w:rPr>
        <w:t xml:space="preserve">program which would be purchased by </w:t>
      </w:r>
      <w:r w:rsidR="00451124" w:rsidRPr="00FE24C0">
        <w:rPr>
          <w:b/>
          <w:i/>
        </w:rPr>
        <w:t xml:space="preserve">the Federal and or Provincial </w:t>
      </w:r>
      <w:r w:rsidR="00DF3794" w:rsidRPr="00FE24C0">
        <w:rPr>
          <w:b/>
          <w:i/>
        </w:rPr>
        <w:t xml:space="preserve">Government as part of </w:t>
      </w:r>
      <w:r w:rsidR="00451124" w:rsidRPr="00FE24C0">
        <w:rPr>
          <w:b/>
          <w:i/>
        </w:rPr>
        <w:t>their</w:t>
      </w:r>
      <w:r w:rsidR="00DF3794" w:rsidRPr="00FE24C0">
        <w:rPr>
          <w:b/>
          <w:i/>
        </w:rPr>
        <w:t xml:space="preserve"> </w:t>
      </w:r>
      <w:r w:rsidR="00451124" w:rsidRPr="00FE24C0">
        <w:rPr>
          <w:b/>
          <w:i/>
        </w:rPr>
        <w:t xml:space="preserve">natural-disaster </w:t>
      </w:r>
      <w:r w:rsidR="00DF3794" w:rsidRPr="00FE24C0">
        <w:rPr>
          <w:b/>
          <w:i/>
        </w:rPr>
        <w:t xml:space="preserve">risk </w:t>
      </w:r>
      <w:r w:rsidR="00DF3794" w:rsidRPr="00FE24C0">
        <w:rPr>
          <w:b/>
          <w:i/>
          <w:color w:val="000000"/>
        </w:rPr>
        <w:t>manag</w:t>
      </w:r>
      <w:r w:rsidR="00451124" w:rsidRPr="00FE24C0">
        <w:rPr>
          <w:b/>
          <w:i/>
          <w:color w:val="000000"/>
        </w:rPr>
        <w:t>e</w:t>
      </w:r>
      <w:r w:rsidR="00DF3794" w:rsidRPr="00FE24C0">
        <w:rPr>
          <w:b/>
          <w:i/>
          <w:color w:val="000000"/>
        </w:rPr>
        <w:t>ment</w:t>
      </w:r>
      <w:r w:rsidR="00DF3794" w:rsidRPr="00FE24C0">
        <w:rPr>
          <w:b/>
          <w:i/>
        </w:rPr>
        <w:t xml:space="preserve"> strategy for </w:t>
      </w:r>
      <w:r w:rsidR="008B4FB8" w:rsidRPr="00FE24C0">
        <w:rPr>
          <w:b/>
          <w:i/>
        </w:rPr>
        <w:t>cattle producers located in SWBA.</w:t>
      </w:r>
      <w:r w:rsidR="008B4FB8" w:rsidRPr="00FE24C0">
        <w:t xml:space="preserve">  </w:t>
      </w:r>
      <w:r w:rsidRPr="00AC17CE">
        <w:t xml:space="preserve">The report </w:t>
      </w:r>
      <w:r w:rsidR="00275BEF" w:rsidRPr="00AC17CE">
        <w:t>consists of seven chapters starting with this introduction.</w:t>
      </w:r>
      <w:r w:rsidR="009F19DD" w:rsidRPr="00AC17CE">
        <w:t xml:space="preserve"> </w:t>
      </w:r>
      <w:r w:rsidR="00275BEF" w:rsidRPr="00AC17CE">
        <w:t>Chapter 2 includes a review of cattle production systems in SWBA and</w:t>
      </w:r>
      <w:r w:rsidR="00F709A9" w:rsidRPr="00AC17CE">
        <w:t xml:space="preserve"> presents an </w:t>
      </w:r>
      <w:r w:rsidR="00275BEF" w:rsidRPr="00AC17CE">
        <w:t xml:space="preserve">assessment of the main climatic risk exposures associated with livestock grazing in this region. Chapter 3 deals with NDVI concepts and international experience with NDVI insurance for pasture and applications of this product to SWBA. Chapter 4 deals with the development of the NDVI </w:t>
      </w:r>
      <w:r w:rsidR="00937F0B" w:rsidRPr="00AC17CE">
        <w:t>Database</w:t>
      </w:r>
      <w:r w:rsidR="00275BEF" w:rsidRPr="00AC17CE">
        <w:t xml:space="preserve"> for SWBA. Chapter 5 presents full details of the NDVI Pasture Insurance Policy Design and Rating Methodology used under this feasibility study. Chapter 6 deals with the legal, institutional, operational, financial, insurance and reinsurance requirements and challenges for introducing NDVI pasture insurance into SWBA. Finally</w:t>
      </w:r>
      <w:r w:rsidR="00610534" w:rsidRPr="00AC17CE">
        <w:t>,</w:t>
      </w:r>
      <w:r w:rsidR="00275BEF" w:rsidRPr="00AC17CE">
        <w:t xml:space="preserve"> Chapter 7 presents conclusions and recommendations. The report contains </w:t>
      </w:r>
      <w:r w:rsidR="000129A6" w:rsidRPr="00AC17CE">
        <w:t xml:space="preserve">3 </w:t>
      </w:r>
      <w:r w:rsidR="00275BEF" w:rsidRPr="00AC17CE">
        <w:t>technical annex</w:t>
      </w:r>
      <w:r w:rsidR="00F709A9" w:rsidRPr="00AC17CE">
        <w:t>es which are provided for refer</w:t>
      </w:r>
      <w:r w:rsidR="00275BEF" w:rsidRPr="00AC17CE">
        <w:t>ence purposes</w:t>
      </w:r>
      <w:r w:rsidRPr="00AC17CE">
        <w:t>.</w:t>
      </w:r>
    </w:p>
    <w:p w:rsidR="00F85446" w:rsidRDefault="00F85446">
      <w:pPr>
        <w:spacing w:after="0"/>
        <w:jc w:val="left"/>
        <w:rPr>
          <w:b/>
          <w:i/>
        </w:rPr>
      </w:pPr>
      <w:r>
        <w:rPr>
          <w:b/>
          <w:i/>
        </w:rPr>
        <w:br w:type="page"/>
      </w:r>
    </w:p>
    <w:p w:rsidR="005A2272" w:rsidRPr="00FE24C0" w:rsidRDefault="00063C37" w:rsidP="009F2634">
      <w:pPr>
        <w:pStyle w:val="Ttulo1"/>
        <w:rPr>
          <w:rFonts w:cs="Times New Roman"/>
        </w:rPr>
      </w:pPr>
      <w:bookmarkStart w:id="10" w:name="_Toc332274322"/>
      <w:bookmarkStart w:id="11" w:name="_Toc345794252"/>
      <w:r w:rsidRPr="00FE24C0">
        <w:rPr>
          <w:rFonts w:cs="Times New Roman"/>
        </w:rPr>
        <w:lastRenderedPageBreak/>
        <w:t xml:space="preserve">Livestock and </w:t>
      </w:r>
      <w:r w:rsidR="005A2272" w:rsidRPr="00FE24C0">
        <w:rPr>
          <w:rFonts w:cs="Times New Roman"/>
        </w:rPr>
        <w:t>Pasture Production Risk Assessment in SWBA</w:t>
      </w:r>
      <w:bookmarkEnd w:id="11"/>
    </w:p>
    <w:p w:rsidR="005A2272" w:rsidRPr="00B862D8" w:rsidRDefault="00531BE4" w:rsidP="00B862D8">
      <w:pPr>
        <w:pStyle w:val="Subttulo"/>
      </w:pPr>
      <w:bookmarkStart w:id="12" w:name="_Toc345794253"/>
      <w:r w:rsidRPr="00B862D8">
        <w:t xml:space="preserve">Location, </w:t>
      </w:r>
      <w:r w:rsidR="005A2272" w:rsidRPr="00B862D8">
        <w:t>C</w:t>
      </w:r>
      <w:r w:rsidR="00063C37" w:rsidRPr="00B862D8">
        <w:t>limate and Agriculture in South West Buenos Aires Province</w:t>
      </w:r>
      <w:bookmarkEnd w:id="12"/>
    </w:p>
    <w:p w:rsidR="000C6233" w:rsidRPr="00FE24C0" w:rsidRDefault="007B362F" w:rsidP="00B862D8">
      <w:pPr>
        <w:pStyle w:val="WBReport"/>
      </w:pPr>
      <w:r w:rsidRPr="00B6022D">
        <w:rPr>
          <w:b/>
          <w:i/>
        </w:rPr>
        <w:t>The South West of Buenos Aires Province (SWBA) is an important social and productive region in the Province</w:t>
      </w:r>
      <w:r w:rsidRPr="00B6022D">
        <w:rPr>
          <w:b/>
        </w:rPr>
        <w:t>.</w:t>
      </w:r>
      <w:r w:rsidRPr="00FE24C0">
        <w:t xml:space="preserve"> </w:t>
      </w:r>
      <w:r w:rsidR="001A24FC" w:rsidRPr="00FE24C0">
        <w:t>The region includes the 12 departments (</w:t>
      </w:r>
      <w:r w:rsidR="001A24FC" w:rsidRPr="00FE24C0">
        <w:rPr>
          <w:i/>
        </w:rPr>
        <w:t>Partido</w:t>
      </w:r>
      <w:r w:rsidR="001A24FC" w:rsidRPr="00FE24C0">
        <w:t xml:space="preserve">s) of Guaminí, Adolfo Alsina, Coronel Suárez, Coronel Pringles, Coronel Dorrego, Saavedra, Tornquist, Puán, Coronel Rosales, Bahía Blanca, Villarino and Patagones. The region has an approximate area of six million five hundred thousand hectares (6,500,000 Ha). The SWBA has around five hundred fifty thousand inhabitants, accounting for 4% of the total population in the province. The Map in Figure 2.1. </w:t>
      </w:r>
      <w:proofErr w:type="gramStart"/>
      <w:r w:rsidR="001A24FC" w:rsidRPr="00FE24C0">
        <w:t>presents</w:t>
      </w:r>
      <w:proofErr w:type="gramEnd"/>
      <w:r w:rsidR="001A24FC" w:rsidRPr="00FE24C0">
        <w:t xml:space="preserve"> the 12 </w:t>
      </w:r>
      <w:r w:rsidR="00865CC5">
        <w:t>Departments</w:t>
      </w:r>
      <w:r w:rsidR="001A24FC" w:rsidRPr="00FE24C0">
        <w:t xml:space="preserve"> (</w:t>
      </w:r>
      <w:r w:rsidR="001A24FC" w:rsidRPr="00FE24C0">
        <w:rPr>
          <w:i/>
        </w:rPr>
        <w:t>Partidos</w:t>
      </w:r>
      <w:r w:rsidR="001A24FC" w:rsidRPr="00FE24C0">
        <w:t>) belonging to the SWBA region.</w:t>
      </w:r>
      <w:r w:rsidR="002800E3">
        <w:t xml:space="preserve"> The smallest administrative unit in Argentina is the Cuartel (or county) and there are 117 Cuartels in the 12 Departments of SWBA.</w:t>
      </w:r>
    </w:p>
    <w:p w:rsidR="007B362F" w:rsidRPr="00FE24C0" w:rsidRDefault="00F85873" w:rsidP="00D96CE8">
      <w:pPr>
        <w:pStyle w:val="HeadFiguresTablesBoxes"/>
      </w:pPr>
      <w:proofErr w:type="gramStart"/>
      <w:r w:rsidRPr="00FE24C0">
        <w:t xml:space="preserve">Figure </w:t>
      </w:r>
      <w:r w:rsidR="007B362F" w:rsidRPr="00FE24C0">
        <w:t>2.1.</w:t>
      </w:r>
      <w:proofErr w:type="gramEnd"/>
      <w:r w:rsidR="007B362F" w:rsidRPr="00FE24C0">
        <w:t xml:space="preserve"> Location of the </w:t>
      </w:r>
      <w:r w:rsidR="007973BF" w:rsidRPr="00FE24C0">
        <w:t xml:space="preserve">12 </w:t>
      </w:r>
      <w:r w:rsidR="007B362F" w:rsidRPr="00FE24C0">
        <w:t>Departments of South West Buenos Aires Province</w:t>
      </w:r>
      <w:r w:rsidR="00451124" w:rsidRPr="00FE24C0">
        <w:t>, Argentina</w:t>
      </w:r>
      <w:r w:rsidR="007B362F" w:rsidRPr="00FE24C0">
        <w:t xml:space="preserve">  </w:t>
      </w:r>
    </w:p>
    <w:p w:rsidR="007B362F" w:rsidRPr="00FE24C0" w:rsidRDefault="000C6233" w:rsidP="007B362F">
      <w:pPr>
        <w:pStyle w:val="APdroughtChapter"/>
        <w:numPr>
          <w:ilvl w:val="0"/>
          <w:numId w:val="0"/>
        </w:numPr>
      </w:pPr>
      <w:r w:rsidRPr="00FE24C0">
        <w:rPr>
          <w:noProof/>
          <w:lang w:val="es-AR" w:eastAsia="es-AR"/>
        </w:rPr>
        <w:drawing>
          <wp:inline distT="0" distB="0" distL="0" distR="0">
            <wp:extent cx="3799484" cy="2624019"/>
            <wp:effectExtent l="1905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795557" cy="2621307"/>
                    </a:xfrm>
                    <a:prstGeom prst="rect">
                      <a:avLst/>
                    </a:prstGeom>
                    <a:noFill/>
                    <a:ln w="9525">
                      <a:noFill/>
                      <a:miter lim="800000"/>
                      <a:headEnd/>
                      <a:tailEnd/>
                    </a:ln>
                  </pic:spPr>
                </pic:pic>
              </a:graphicData>
            </a:graphic>
          </wp:inline>
        </w:drawing>
      </w:r>
    </w:p>
    <w:p w:rsidR="00B36017" w:rsidRDefault="007B362F" w:rsidP="00B36017">
      <w:pPr>
        <w:pStyle w:val="WB"/>
        <w:numPr>
          <w:ilvl w:val="0"/>
          <w:numId w:val="0"/>
        </w:numPr>
        <w:spacing w:after="0"/>
      </w:pPr>
      <w:r w:rsidRPr="00FE24C0">
        <w:t xml:space="preserve">Source: </w:t>
      </w:r>
      <w:r w:rsidR="003D13E7" w:rsidRPr="00FE24C0">
        <w:t>Andrade, Laporta, and Iezzi, 2009</w:t>
      </w:r>
    </w:p>
    <w:p w:rsidR="00B862D8" w:rsidRPr="00FE24C0" w:rsidRDefault="00B862D8" w:rsidP="00B36017">
      <w:pPr>
        <w:pStyle w:val="WB"/>
        <w:numPr>
          <w:ilvl w:val="0"/>
          <w:numId w:val="0"/>
        </w:numPr>
        <w:spacing w:after="0"/>
      </w:pPr>
    </w:p>
    <w:p w:rsidR="00C54992" w:rsidRPr="00FE24C0" w:rsidRDefault="007B362F" w:rsidP="00C418DE">
      <w:pPr>
        <w:pStyle w:val="WBReport"/>
        <w:rPr>
          <w:i/>
        </w:rPr>
      </w:pPr>
      <w:r w:rsidRPr="00B6022D">
        <w:rPr>
          <w:b/>
          <w:i/>
        </w:rPr>
        <w:t xml:space="preserve">The SWBA region is </w:t>
      </w:r>
      <w:r w:rsidR="00531BE4" w:rsidRPr="00B6022D">
        <w:rPr>
          <w:b/>
          <w:i/>
        </w:rPr>
        <w:t>located i</w:t>
      </w:r>
      <w:r w:rsidRPr="00B6022D">
        <w:rPr>
          <w:b/>
          <w:i/>
        </w:rPr>
        <w:t>n the sub-humid and semi-arid areas of Buenos Aires Province</w:t>
      </w:r>
      <w:r w:rsidR="00B36017" w:rsidRPr="00B6022D">
        <w:rPr>
          <w:b/>
          <w:i/>
        </w:rPr>
        <w:t>.</w:t>
      </w:r>
      <w:r w:rsidR="00531BE4" w:rsidRPr="00FE24C0">
        <w:rPr>
          <w:i/>
        </w:rPr>
        <w:t xml:space="preserve"> </w:t>
      </w:r>
      <w:r w:rsidRPr="00FE24C0">
        <w:t>Rainfall in SWBA averages about 600 mm per year, but varies from a maximum of more than 700 mm in the northeastern most d</w:t>
      </w:r>
      <w:r w:rsidR="00531BE4" w:rsidRPr="00FE24C0">
        <w:t>epartments</w:t>
      </w:r>
      <w:r w:rsidRPr="00FE24C0">
        <w:t xml:space="preserve"> to less than </w:t>
      </w:r>
      <w:r w:rsidR="009F19DD" w:rsidRPr="00FE24C0">
        <w:t>400</w:t>
      </w:r>
      <w:r w:rsidR="00AC0FA5" w:rsidRPr="00FE24C0">
        <w:t xml:space="preserve"> </w:t>
      </w:r>
      <w:r w:rsidRPr="00FE24C0">
        <w:t xml:space="preserve">mm in the </w:t>
      </w:r>
      <w:r w:rsidR="00AC0FA5" w:rsidRPr="00FE24C0">
        <w:t>south west</w:t>
      </w:r>
      <w:r w:rsidR="00F85873" w:rsidRPr="00FE24C0">
        <w:t xml:space="preserve">: as such there is a marked declining rainfall gradient from north to the south which is semi-arid </w:t>
      </w:r>
      <w:r w:rsidR="00C54992" w:rsidRPr="00FE24C0">
        <w:t>(</w:t>
      </w:r>
      <w:r w:rsidR="00F85873" w:rsidRPr="00FE24C0">
        <w:t>Figure 2.2)</w:t>
      </w:r>
      <w:r w:rsidRPr="00FE24C0">
        <w:t xml:space="preserve">. </w:t>
      </w:r>
      <w:r w:rsidR="00C54992" w:rsidRPr="00FE24C0">
        <w:t>Farming systems are highly influenced by the rainfall: in the north agricultural crops are grown, especially winter wheat, but in the centre and south of SWBA rainfall is too low to support any annual cropping and natural pasture and extensive beef cattle rearing predominates.</w:t>
      </w:r>
      <w:r w:rsidR="00C54992" w:rsidRPr="00FE24C0">
        <w:rPr>
          <w:i/>
        </w:rPr>
        <w:t xml:space="preserve"> </w:t>
      </w:r>
    </w:p>
    <w:p w:rsidR="00531BE4" w:rsidRPr="00725DD8" w:rsidRDefault="007B362F" w:rsidP="00C418DE">
      <w:pPr>
        <w:pStyle w:val="WBReport"/>
        <w:rPr>
          <w:i/>
        </w:rPr>
      </w:pPr>
      <w:r w:rsidRPr="00C418DE">
        <w:rPr>
          <w:b/>
          <w:i/>
        </w:rPr>
        <w:t xml:space="preserve">The distribution of rainfall </w:t>
      </w:r>
      <w:r w:rsidR="00531BE4" w:rsidRPr="00C418DE">
        <w:rPr>
          <w:b/>
          <w:i/>
        </w:rPr>
        <w:t>over</w:t>
      </w:r>
      <w:r w:rsidRPr="00C418DE">
        <w:rPr>
          <w:b/>
          <w:i/>
        </w:rPr>
        <w:t xml:space="preserve"> the year presents two peaks, one during autumn (from March to May) and the other during the spring</w:t>
      </w:r>
      <w:r w:rsidR="00C54992" w:rsidRPr="00C418DE">
        <w:rPr>
          <w:b/>
          <w:i/>
        </w:rPr>
        <w:t xml:space="preserve"> and early summer</w:t>
      </w:r>
      <w:r w:rsidRPr="00C418DE">
        <w:rPr>
          <w:b/>
          <w:i/>
        </w:rPr>
        <w:t xml:space="preserve"> (September to </w:t>
      </w:r>
      <w:r w:rsidR="009F19DD" w:rsidRPr="00C418DE">
        <w:rPr>
          <w:b/>
          <w:i/>
        </w:rPr>
        <w:t>December</w:t>
      </w:r>
      <w:r w:rsidRPr="00C418DE">
        <w:rPr>
          <w:b/>
          <w:i/>
        </w:rPr>
        <w:t>).</w:t>
      </w:r>
      <w:r w:rsidRPr="00FE24C0">
        <w:rPr>
          <w:i/>
        </w:rPr>
        <w:t xml:space="preserve"> </w:t>
      </w:r>
      <w:r w:rsidR="00C54992" w:rsidRPr="00FE24C0">
        <w:rPr>
          <w:i/>
        </w:rPr>
        <w:t xml:space="preserve"> </w:t>
      </w:r>
      <w:r w:rsidRPr="00FE24C0">
        <w:t>While autumn and spring are the rainy seasons in the region, winte</w:t>
      </w:r>
      <w:r w:rsidR="00331933" w:rsidRPr="00FE24C0">
        <w:t>r and summer usually experience</w:t>
      </w:r>
      <w:r w:rsidRPr="00FE24C0">
        <w:t xml:space="preserve"> semi-arid and dry conditions. Owing to its semi-arid and sub-humid conditions, the </w:t>
      </w:r>
      <w:r w:rsidRPr="00FE24C0">
        <w:lastRenderedPageBreak/>
        <w:t xml:space="preserve">region experiences high deviations from normal precipitation. The SWBA also experiences marked variations in temperatures. Summers are often hot, with absolute daily maximum temperatures often reaching 30°C to 35°C. </w:t>
      </w:r>
      <w:r w:rsidR="00451124" w:rsidRPr="00FE24C0">
        <w:t>Autumn f</w:t>
      </w:r>
      <w:r w:rsidRPr="00FE24C0">
        <w:t>rost</w:t>
      </w:r>
      <w:r w:rsidR="00451124" w:rsidRPr="00FE24C0">
        <w:t>s</w:t>
      </w:r>
      <w:r w:rsidRPr="00FE24C0">
        <w:t xml:space="preserve"> can </w:t>
      </w:r>
      <w:r w:rsidR="00451124" w:rsidRPr="00FE24C0">
        <w:t>occur</w:t>
      </w:r>
      <w:r w:rsidRPr="00FE24C0">
        <w:t xml:space="preserve"> as early as March, but usually </w:t>
      </w:r>
      <w:r w:rsidR="00451124" w:rsidRPr="00FE24C0">
        <w:t>start</w:t>
      </w:r>
      <w:r w:rsidRPr="00FE24C0">
        <w:t xml:space="preserve"> in April. </w:t>
      </w:r>
      <w:r w:rsidR="00451124" w:rsidRPr="00FE24C0">
        <w:t xml:space="preserve"> </w:t>
      </w:r>
      <w:r w:rsidRPr="00FE24C0">
        <w:t>Winters are cool and dry, with day</w:t>
      </w:r>
      <w:r w:rsidR="00331933" w:rsidRPr="00FE24C0">
        <w:t xml:space="preserve"> time temperatures</w:t>
      </w:r>
      <w:r w:rsidRPr="00FE24C0">
        <w:t xml:space="preserve"> between 10°C and 16°C and </w:t>
      </w:r>
      <w:r w:rsidR="00331933" w:rsidRPr="00FE24C0">
        <w:t xml:space="preserve">at </w:t>
      </w:r>
      <w:r w:rsidRPr="00FE24C0">
        <w:t xml:space="preserve">night between -1°C and 4°C. </w:t>
      </w:r>
      <w:r w:rsidR="00B75097" w:rsidRPr="00FE24C0">
        <w:t>In winter the region can experience severe frosts at night</w:t>
      </w:r>
      <w:r w:rsidRPr="00FE24C0">
        <w:t xml:space="preserve">. Snowfall may occur every once in a while, but accumulations are usually small. </w:t>
      </w:r>
      <w:r w:rsidR="00531BE4" w:rsidRPr="00FE24C0">
        <w:t>Figures 2.</w:t>
      </w:r>
      <w:r w:rsidR="00F85873" w:rsidRPr="00FE24C0">
        <w:t>3</w:t>
      </w:r>
      <w:r w:rsidR="00531BE4" w:rsidRPr="00FE24C0">
        <w:t xml:space="preserve"> and 2.</w:t>
      </w:r>
      <w:r w:rsidR="00F85873" w:rsidRPr="00FE24C0">
        <w:t>4</w:t>
      </w:r>
      <w:r w:rsidR="00531BE4" w:rsidRPr="00FE24C0">
        <w:t xml:space="preserve"> respectively </w:t>
      </w:r>
      <w:r w:rsidRPr="00FE24C0">
        <w:t xml:space="preserve">present </w:t>
      </w:r>
      <w:r w:rsidR="00531BE4" w:rsidRPr="00FE24C0">
        <w:t xml:space="preserve">mean monthly rainfall and </w:t>
      </w:r>
      <w:r w:rsidR="00907B9B" w:rsidRPr="00FE24C0">
        <w:t>its deviation</w:t>
      </w:r>
      <w:r w:rsidRPr="00FE24C0">
        <w:t xml:space="preserve"> for </w:t>
      </w:r>
      <w:r w:rsidR="00531BE4" w:rsidRPr="00FE24C0">
        <w:t xml:space="preserve">the weather stations at </w:t>
      </w:r>
      <w:r w:rsidRPr="00FE24C0">
        <w:t xml:space="preserve">Bahia Blanca and </w:t>
      </w:r>
      <w:r w:rsidR="00907B9B" w:rsidRPr="00FE24C0">
        <w:t>Bordenave</w:t>
      </w:r>
      <w:r w:rsidRPr="00FE24C0">
        <w:t>.</w:t>
      </w:r>
    </w:p>
    <w:p w:rsidR="00725DD8" w:rsidRPr="00FE24C0" w:rsidRDefault="00725DD8" w:rsidP="00C418DE">
      <w:pPr>
        <w:pStyle w:val="WBReport"/>
        <w:rPr>
          <w:i/>
        </w:rPr>
      </w:pPr>
      <w:r>
        <w:rPr>
          <w:b/>
          <w:i/>
        </w:rPr>
        <w:t xml:space="preserve">Much of </w:t>
      </w:r>
      <w:r w:rsidR="00362D8D">
        <w:rPr>
          <w:b/>
          <w:i/>
        </w:rPr>
        <w:t xml:space="preserve">the </w:t>
      </w:r>
      <w:r>
        <w:rPr>
          <w:b/>
          <w:i/>
        </w:rPr>
        <w:t xml:space="preserve">SWBA </w:t>
      </w:r>
      <w:r w:rsidR="00362D8D">
        <w:rPr>
          <w:b/>
          <w:i/>
        </w:rPr>
        <w:t xml:space="preserve">region </w:t>
      </w:r>
      <w:r>
        <w:rPr>
          <w:b/>
          <w:i/>
        </w:rPr>
        <w:t xml:space="preserve">is characterized by marginal </w:t>
      </w:r>
      <w:r w:rsidR="00362D8D">
        <w:rPr>
          <w:b/>
          <w:i/>
        </w:rPr>
        <w:t>so</w:t>
      </w:r>
      <w:r>
        <w:rPr>
          <w:b/>
          <w:i/>
        </w:rPr>
        <w:t xml:space="preserve">ils which are </w:t>
      </w:r>
      <w:r w:rsidR="00362D8D">
        <w:rPr>
          <w:b/>
          <w:i/>
        </w:rPr>
        <w:t xml:space="preserve">highly </w:t>
      </w:r>
      <w:r>
        <w:rPr>
          <w:b/>
          <w:i/>
        </w:rPr>
        <w:t xml:space="preserve">susceptible to </w:t>
      </w:r>
      <w:r w:rsidR="00362D8D">
        <w:rPr>
          <w:b/>
          <w:i/>
        </w:rPr>
        <w:t xml:space="preserve">flood, drought and wind erosion.  </w:t>
      </w:r>
      <w:r w:rsidR="00F0345D" w:rsidRPr="00F0345D">
        <w:t xml:space="preserve">Due to </w:t>
      </w:r>
      <w:r w:rsidR="00362D8D">
        <w:t>the variability of rainfall patterns which oscillate between periods of extreme drought and excess rainfall, the zone is subject to cycles of drought and wind erosion followed by flooding and hydraulic erosion resulting in soil compaction, salinization and desertification (SAyDS 2012).</w:t>
      </w:r>
    </w:p>
    <w:tbl>
      <w:tblPr>
        <w:tblW w:w="0" w:type="auto"/>
        <w:tblLook w:val="04A0"/>
      </w:tblPr>
      <w:tblGrid>
        <w:gridCol w:w="4460"/>
        <w:gridCol w:w="4402"/>
      </w:tblGrid>
      <w:tr w:rsidR="00531BE4" w:rsidRPr="00FE24C0" w:rsidTr="00907B9B">
        <w:tc>
          <w:tcPr>
            <w:tcW w:w="4460" w:type="dxa"/>
            <w:vMerge w:val="restart"/>
            <w:vAlign w:val="center"/>
          </w:tcPr>
          <w:p w:rsidR="00531BE4" w:rsidRPr="00FE24C0" w:rsidRDefault="00F85873" w:rsidP="00D96CE8">
            <w:pPr>
              <w:pStyle w:val="HeadFiguresTablesBoxes"/>
            </w:pPr>
            <w:r w:rsidRPr="00FE24C0">
              <w:t>Fig</w:t>
            </w:r>
            <w:r w:rsidR="00531BE4" w:rsidRPr="00FE24C0">
              <w:t xml:space="preserve"> 2.2.</w:t>
            </w:r>
            <w:r w:rsidR="007329FD" w:rsidRPr="00FE24C0">
              <w:t xml:space="preserve"> SWBA: </w:t>
            </w:r>
            <w:r w:rsidR="00531BE4" w:rsidRPr="00FE24C0">
              <w:t>Rainfall Iso</w:t>
            </w:r>
            <w:r w:rsidR="007329FD" w:rsidRPr="00FE24C0">
              <w:t>h</w:t>
            </w:r>
            <w:r w:rsidR="00531BE4" w:rsidRPr="00FE24C0">
              <w:t>yets</w:t>
            </w:r>
            <w:r w:rsidR="007329FD" w:rsidRPr="00FE24C0">
              <w:t xml:space="preserve"> (mm)</w:t>
            </w:r>
          </w:p>
          <w:p w:rsidR="00531BE4" w:rsidRPr="00FE24C0" w:rsidRDefault="00130500" w:rsidP="00134FF7">
            <w:pPr>
              <w:pStyle w:val="APDroughtPara"/>
              <w:numPr>
                <w:ilvl w:val="0"/>
                <w:numId w:val="0"/>
              </w:numPr>
              <w:spacing w:after="60"/>
              <w:jc w:val="center"/>
              <w:outlineLvl w:val="9"/>
              <w:rPr>
                <w:b/>
                <w:sz w:val="20"/>
                <w:szCs w:val="20"/>
              </w:rPr>
            </w:pPr>
            <w:r w:rsidRPr="00FE24C0">
              <w:rPr>
                <w:b/>
                <w:noProof/>
                <w:sz w:val="20"/>
                <w:szCs w:val="20"/>
                <w:lang w:val="es-AR" w:eastAsia="es-AR"/>
              </w:rPr>
              <w:drawing>
                <wp:inline distT="0" distB="0" distL="0" distR="0">
                  <wp:extent cx="2360295" cy="3572510"/>
                  <wp:effectExtent l="19050" t="19050" r="20955" b="27940"/>
                  <wp:docPr id="7" name="Picture 2" descr="Map_of_Buenos_Aires_Province_Isoy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_of_Buenos_Aires_Province_Isoyets"/>
                          <pic:cNvPicPr>
                            <a:picLocks noChangeAspect="1" noChangeArrowheads="1"/>
                          </pic:cNvPicPr>
                        </pic:nvPicPr>
                        <pic:blipFill>
                          <a:blip r:embed="rId15" cstate="print"/>
                          <a:srcRect/>
                          <a:stretch>
                            <a:fillRect/>
                          </a:stretch>
                        </pic:blipFill>
                        <pic:spPr bwMode="auto">
                          <a:xfrm>
                            <a:off x="0" y="0"/>
                            <a:ext cx="2360295" cy="3572510"/>
                          </a:xfrm>
                          <a:prstGeom prst="rect">
                            <a:avLst/>
                          </a:prstGeom>
                          <a:noFill/>
                          <a:ln w="9525" cmpd="sng">
                            <a:solidFill>
                              <a:srgbClr val="000000"/>
                            </a:solidFill>
                            <a:miter lim="800000"/>
                            <a:headEnd/>
                            <a:tailEnd/>
                          </a:ln>
                          <a:effectLst/>
                        </pic:spPr>
                      </pic:pic>
                    </a:graphicData>
                  </a:graphic>
                </wp:inline>
              </w:drawing>
            </w:r>
          </w:p>
        </w:tc>
        <w:tc>
          <w:tcPr>
            <w:tcW w:w="4402" w:type="dxa"/>
            <w:vAlign w:val="center"/>
          </w:tcPr>
          <w:p w:rsidR="00531BE4" w:rsidRPr="00FE24C0" w:rsidRDefault="00531BE4" w:rsidP="00D96CE8">
            <w:pPr>
              <w:pStyle w:val="HeadFiguresTablesBoxes"/>
            </w:pPr>
            <w:r w:rsidRPr="00FE24C0">
              <w:t>Figure 2.</w:t>
            </w:r>
            <w:r w:rsidR="00F85873" w:rsidRPr="00FE24C0">
              <w:t>3</w:t>
            </w:r>
            <w:r w:rsidRPr="00FE24C0">
              <w:t>. Climograph Bahia Blanca</w:t>
            </w:r>
          </w:p>
          <w:p w:rsidR="00531BE4" w:rsidRPr="00FE24C0" w:rsidRDefault="000C6233" w:rsidP="00134FF7">
            <w:pPr>
              <w:pStyle w:val="APDroughtPara"/>
              <w:numPr>
                <w:ilvl w:val="0"/>
                <w:numId w:val="0"/>
              </w:numPr>
              <w:jc w:val="center"/>
              <w:outlineLvl w:val="9"/>
              <w:rPr>
                <w:szCs w:val="22"/>
              </w:rPr>
            </w:pPr>
            <w:r w:rsidRPr="00FE24C0">
              <w:rPr>
                <w:noProof/>
                <w:szCs w:val="22"/>
                <w:lang w:val="es-AR" w:eastAsia="es-AR"/>
              </w:rPr>
              <w:drawing>
                <wp:inline distT="0" distB="0" distL="0" distR="0">
                  <wp:extent cx="2627040" cy="1222303"/>
                  <wp:effectExtent l="0" t="0" r="186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626266" cy="1221943"/>
                          </a:xfrm>
                          <a:prstGeom prst="rect">
                            <a:avLst/>
                          </a:prstGeom>
                          <a:noFill/>
                          <a:ln w="9525">
                            <a:noFill/>
                            <a:miter lim="800000"/>
                            <a:headEnd/>
                            <a:tailEnd/>
                          </a:ln>
                        </pic:spPr>
                      </pic:pic>
                    </a:graphicData>
                  </a:graphic>
                </wp:inline>
              </w:drawing>
            </w:r>
          </w:p>
        </w:tc>
      </w:tr>
      <w:tr w:rsidR="00531BE4" w:rsidRPr="00FE24C0" w:rsidTr="00907B9B">
        <w:tc>
          <w:tcPr>
            <w:tcW w:w="4460" w:type="dxa"/>
            <w:vMerge/>
            <w:vAlign w:val="center"/>
          </w:tcPr>
          <w:p w:rsidR="00531BE4" w:rsidRPr="00FE24C0" w:rsidRDefault="00531BE4" w:rsidP="00134FF7">
            <w:pPr>
              <w:pStyle w:val="APDroughtPara"/>
              <w:numPr>
                <w:ilvl w:val="0"/>
                <w:numId w:val="0"/>
              </w:numPr>
              <w:jc w:val="center"/>
              <w:outlineLvl w:val="9"/>
              <w:rPr>
                <w:b/>
                <w:color w:val="FF0000"/>
                <w:szCs w:val="22"/>
              </w:rPr>
            </w:pPr>
          </w:p>
        </w:tc>
        <w:tc>
          <w:tcPr>
            <w:tcW w:w="4402" w:type="dxa"/>
            <w:vAlign w:val="center"/>
          </w:tcPr>
          <w:p w:rsidR="00531BE4" w:rsidRPr="00FE24C0" w:rsidRDefault="00531BE4" w:rsidP="00D96CE8">
            <w:pPr>
              <w:pStyle w:val="HeadFiguresTablesBoxes"/>
            </w:pPr>
            <w:r w:rsidRPr="00FE24C0">
              <w:t xml:space="preserve">Figure </w:t>
            </w:r>
            <w:r w:rsidR="009F19DD" w:rsidRPr="00FE24C0">
              <w:t>2</w:t>
            </w:r>
            <w:r w:rsidRPr="00FE24C0">
              <w:t>.</w:t>
            </w:r>
            <w:r w:rsidR="00F85873" w:rsidRPr="00FE24C0">
              <w:t>4</w:t>
            </w:r>
            <w:r w:rsidRPr="00FE24C0">
              <w:t xml:space="preserve">. Climograph </w:t>
            </w:r>
            <w:r w:rsidR="00907B9B" w:rsidRPr="00FE24C0">
              <w:t>Bordenave</w:t>
            </w:r>
          </w:p>
          <w:p w:rsidR="00531BE4" w:rsidRPr="00FE24C0" w:rsidRDefault="000C6233" w:rsidP="00134FF7">
            <w:pPr>
              <w:pStyle w:val="APDroughtPara"/>
              <w:numPr>
                <w:ilvl w:val="0"/>
                <w:numId w:val="0"/>
              </w:numPr>
              <w:jc w:val="center"/>
              <w:outlineLvl w:val="9"/>
              <w:rPr>
                <w:szCs w:val="22"/>
              </w:rPr>
            </w:pPr>
            <w:r w:rsidRPr="00FE24C0">
              <w:rPr>
                <w:noProof/>
                <w:szCs w:val="22"/>
                <w:lang w:val="es-AR" w:eastAsia="es-AR"/>
              </w:rPr>
              <w:drawing>
                <wp:inline distT="0" distB="0" distL="0" distR="0">
                  <wp:extent cx="2650998" cy="1233451"/>
                  <wp:effectExtent l="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50067" cy="1233018"/>
                          </a:xfrm>
                          <a:prstGeom prst="rect">
                            <a:avLst/>
                          </a:prstGeom>
                          <a:noFill/>
                          <a:ln w="9525">
                            <a:noFill/>
                            <a:miter lim="800000"/>
                            <a:headEnd/>
                            <a:tailEnd/>
                          </a:ln>
                        </pic:spPr>
                      </pic:pic>
                    </a:graphicData>
                  </a:graphic>
                </wp:inline>
              </w:drawing>
            </w:r>
          </w:p>
        </w:tc>
      </w:tr>
      <w:tr w:rsidR="00531BE4" w:rsidRPr="00FE24C0" w:rsidTr="00907B9B">
        <w:tc>
          <w:tcPr>
            <w:tcW w:w="4460" w:type="dxa"/>
            <w:vAlign w:val="center"/>
          </w:tcPr>
          <w:p w:rsidR="00531BE4" w:rsidRPr="00FE24C0" w:rsidRDefault="00531BE4" w:rsidP="000E35EC">
            <w:pPr>
              <w:pStyle w:val="Source"/>
              <w:jc w:val="center"/>
            </w:pPr>
            <w:r w:rsidRPr="00FE24C0">
              <w:t>Source</w:t>
            </w:r>
            <w:r w:rsidR="00907B9B" w:rsidRPr="00FE24C0">
              <w:t>:</w:t>
            </w:r>
            <w:r w:rsidRPr="00FE24C0">
              <w:t xml:space="preserve"> Authors from (Mazziotti and Sanchez, 2008) and (Sanchez et Al 1998)</w:t>
            </w:r>
          </w:p>
        </w:tc>
        <w:tc>
          <w:tcPr>
            <w:tcW w:w="4402" w:type="dxa"/>
            <w:vAlign w:val="center"/>
          </w:tcPr>
          <w:p w:rsidR="00531BE4" w:rsidRPr="00FE24C0" w:rsidRDefault="00907B9B" w:rsidP="00907B9B">
            <w:pPr>
              <w:pStyle w:val="Source"/>
              <w:jc w:val="center"/>
            </w:pPr>
            <w:r w:rsidRPr="00FE24C0">
              <w:t>So</w:t>
            </w:r>
            <w:r w:rsidR="00B75097" w:rsidRPr="00FE24C0">
              <w:t>u</w:t>
            </w:r>
            <w:r w:rsidRPr="00FE24C0">
              <w:t>rce: Authors</w:t>
            </w:r>
          </w:p>
        </w:tc>
      </w:tr>
    </w:tbl>
    <w:p w:rsidR="00B862D8" w:rsidRDefault="00B862D8" w:rsidP="00B862D8">
      <w:pPr>
        <w:pStyle w:val="Subttulo"/>
        <w:numPr>
          <w:ilvl w:val="0"/>
          <w:numId w:val="0"/>
        </w:numPr>
      </w:pPr>
    </w:p>
    <w:p w:rsidR="00063C37" w:rsidRPr="00B862D8" w:rsidRDefault="00063C37" w:rsidP="00B862D8">
      <w:pPr>
        <w:pStyle w:val="Subttulo"/>
        <w:numPr>
          <w:ilvl w:val="0"/>
          <w:numId w:val="0"/>
        </w:numPr>
      </w:pPr>
      <w:bookmarkStart w:id="13" w:name="_Toc345794254"/>
      <w:r w:rsidRPr="00B862D8">
        <w:t>Cattle Production Systems in South West Buenos Aires</w:t>
      </w:r>
      <w:bookmarkEnd w:id="13"/>
    </w:p>
    <w:p w:rsidR="00B862D8" w:rsidRPr="00B862D8" w:rsidRDefault="00583213" w:rsidP="00B862D8">
      <w:pPr>
        <w:pStyle w:val="WBReport"/>
        <w:rPr>
          <w:i/>
        </w:rPr>
      </w:pPr>
      <w:r w:rsidRPr="00C418DE">
        <w:rPr>
          <w:b/>
          <w:i/>
        </w:rPr>
        <w:t xml:space="preserve">Cattle production in South-West Buenos Aires, SWBA Province is an important economic and social </w:t>
      </w:r>
      <w:r w:rsidR="00BF0D37" w:rsidRPr="00C418DE">
        <w:rPr>
          <w:b/>
          <w:i/>
        </w:rPr>
        <w:t>activity</w:t>
      </w:r>
      <w:r w:rsidRPr="00C418DE">
        <w:rPr>
          <w:b/>
          <w:i/>
        </w:rPr>
        <w:t>.</w:t>
      </w:r>
      <w:r w:rsidRPr="00FE24C0">
        <w:rPr>
          <w:i/>
        </w:rPr>
        <w:t xml:space="preserve"> </w:t>
      </w:r>
      <w:r w:rsidR="00F0345D" w:rsidRPr="00F0345D">
        <w:t>The importance</w:t>
      </w:r>
      <w:r w:rsidR="00AF621D">
        <w:t xml:space="preserve"> of primary agriculture to the economy of SWBA is evidenced by the fact that crop and livestock </w:t>
      </w:r>
      <w:r w:rsidRPr="00FE24C0">
        <w:t xml:space="preserve">production account for 28% of the Gross </w:t>
      </w:r>
      <w:r w:rsidRPr="00FE24C0">
        <w:lastRenderedPageBreak/>
        <w:t xml:space="preserve">Geographic Product (GGP) of </w:t>
      </w:r>
      <w:r w:rsidR="00AF621D">
        <w:t xml:space="preserve">SWBA and cattle production alone accounts for 15% of the GGP of this region (SAyDS 2012).  This contrasts with a much lower figure of only 4.3% of GGP for Buenos Aires Province as a whole (Ministry of Economy, 2012). </w:t>
      </w:r>
      <w:r w:rsidRPr="00FE24C0">
        <w:t xml:space="preserve"> The SWBA is basically a cattle rearing zone and it comprises 15% of the total beef cattle production in the Province of Buenos Aires. </w:t>
      </w:r>
      <w:r w:rsidR="008E051D" w:rsidRPr="00FE24C0">
        <w:t>There are</w:t>
      </w:r>
      <w:r w:rsidRPr="00FE24C0">
        <w:t xml:space="preserve"> over 8,000 registered cattle producers with more than 2</w:t>
      </w:r>
      <w:r w:rsidR="0062302D" w:rsidRPr="00FE24C0">
        <w:t>.14</w:t>
      </w:r>
      <w:r w:rsidRPr="00FE24C0">
        <w:t xml:space="preserve"> million head of mainly beef cattle production</w:t>
      </w:r>
      <w:r w:rsidR="008E051D" w:rsidRPr="00B862D8">
        <w:rPr>
          <w:vertAlign w:val="superscript"/>
        </w:rPr>
        <w:footnoteReference w:id="12"/>
      </w:r>
      <w:r w:rsidRPr="00FE24C0">
        <w:t xml:space="preserve"> in an area of about 3 million hectares of pasture (of which more than 85% is natural pasture). The </w:t>
      </w:r>
      <w:r w:rsidR="00362D8D">
        <w:t xml:space="preserve">rural </w:t>
      </w:r>
      <w:r w:rsidRPr="00FE24C0">
        <w:t>population of the SWBA is highly dependent on small and medium-scale agricultural and cattle ranching activities. The SWBA region accounts for approximately 12.3% of all farms in the range of 0-500 hectares in the Province of Buenos Aires. This stratum of family-run subsistence farming corresponds to 62.5% of the 5,000 farming units (</w:t>
      </w:r>
      <w:r w:rsidR="00F0345D" w:rsidRPr="00F0345D">
        <w:rPr>
          <w:i/>
        </w:rPr>
        <w:t>explotaciones agropecuarias</w:t>
      </w:r>
      <w:r w:rsidRPr="00FE24C0">
        <w:t xml:space="preserve"> in Spanish) </w:t>
      </w:r>
      <w:r w:rsidR="00AF5FCA">
        <w:t>in SWBA</w:t>
      </w:r>
      <w:r w:rsidRPr="00FE24C0">
        <w:t>.</w:t>
      </w:r>
    </w:p>
    <w:p w:rsidR="00B862D8" w:rsidRDefault="00583213" w:rsidP="00B862D8">
      <w:pPr>
        <w:pStyle w:val="WBReport"/>
        <w:rPr>
          <w:i/>
        </w:rPr>
      </w:pPr>
      <w:r w:rsidRPr="00B862D8">
        <w:rPr>
          <w:b/>
          <w:i/>
        </w:rPr>
        <w:t xml:space="preserve">Cattle production systems in SWBA are </w:t>
      </w:r>
      <w:r w:rsidR="00B43571" w:rsidRPr="00B862D8">
        <w:rPr>
          <w:b/>
          <w:i/>
        </w:rPr>
        <w:t xml:space="preserve">mostly based on </w:t>
      </w:r>
      <w:r w:rsidR="000D3FE3" w:rsidRPr="00B862D8">
        <w:rPr>
          <w:b/>
          <w:i/>
        </w:rPr>
        <w:t>extensive</w:t>
      </w:r>
      <w:r w:rsidRPr="00B862D8">
        <w:rPr>
          <w:b/>
          <w:i/>
        </w:rPr>
        <w:t xml:space="preserve"> grazing</w:t>
      </w:r>
      <w:r w:rsidR="000D3FE3" w:rsidRPr="00B862D8">
        <w:rPr>
          <w:b/>
          <w:i/>
        </w:rPr>
        <w:t xml:space="preserve"> of natural pasture, but this varies from north to south</w:t>
      </w:r>
      <w:r w:rsidRPr="00B862D8">
        <w:rPr>
          <w:b/>
          <w:i/>
        </w:rPr>
        <w:t>.</w:t>
      </w:r>
      <w:r w:rsidRPr="00B862D8">
        <w:rPr>
          <w:i/>
        </w:rPr>
        <w:t xml:space="preserve"> </w:t>
      </w:r>
      <w:r w:rsidRPr="00B862D8">
        <w:t xml:space="preserve">Beef cattle production activities may take place as a complement to crop production activities (winter cereal crops in the region) or can be the single activity of the farm. In the most productive higher rainfall areas in SWBA situated in the north east of the region, beef cattle production is performed in combination with crop activities. In </w:t>
      </w:r>
      <w:r w:rsidR="00BF0D37" w:rsidRPr="00B862D8">
        <w:t xml:space="preserve">the north-east the predominant beef cattle production system </w:t>
      </w:r>
      <w:r w:rsidRPr="00B862D8">
        <w:t>is the so called complete cycle (br</w:t>
      </w:r>
      <w:r w:rsidR="00BF0D37" w:rsidRPr="00B862D8">
        <w:t>eeding</w:t>
      </w:r>
      <w:r w:rsidRPr="00B862D8">
        <w:t xml:space="preserve"> cows, calves, replacement females, growing steers, and </w:t>
      </w:r>
      <w:r w:rsidR="00BF0D37" w:rsidRPr="00B862D8">
        <w:t xml:space="preserve">beef </w:t>
      </w:r>
      <w:r w:rsidRPr="00B862D8">
        <w:t xml:space="preserve">fattening). </w:t>
      </w:r>
      <w:r w:rsidR="000D3FE3" w:rsidRPr="00B862D8">
        <w:t xml:space="preserve">In the north-east there is much pressure on land for cereal production and therefore natural pasture and direct grazing is often restricted and cattle producers depend more on forage crops to provide supplementary feeds for their cattle. </w:t>
      </w:r>
      <w:r w:rsidRPr="00B862D8">
        <w:t>Conversely, in the low rainfall</w:t>
      </w:r>
      <w:r w:rsidR="00BF0D37" w:rsidRPr="00B862D8">
        <w:t>,</w:t>
      </w:r>
      <w:r w:rsidRPr="00B862D8">
        <w:t xml:space="preserve"> low productive areas</w:t>
      </w:r>
      <w:r w:rsidR="00BF0D37" w:rsidRPr="00B862D8">
        <w:t xml:space="preserve"> of </w:t>
      </w:r>
      <w:r w:rsidRPr="00B862D8">
        <w:t xml:space="preserve">the </w:t>
      </w:r>
      <w:r w:rsidR="000D3FE3" w:rsidRPr="00B862D8">
        <w:t xml:space="preserve">centre and </w:t>
      </w:r>
      <w:r w:rsidRPr="00B862D8">
        <w:t>south west</w:t>
      </w:r>
      <w:r w:rsidR="00BF0D37" w:rsidRPr="00B862D8">
        <w:t xml:space="preserve"> of SWBA</w:t>
      </w:r>
      <w:r w:rsidRPr="00B862D8">
        <w:t>, the main type</w:t>
      </w:r>
      <w:r w:rsidR="00BF0D37" w:rsidRPr="00B862D8">
        <w:t xml:space="preserve"> of livestock production system</w:t>
      </w:r>
      <w:r w:rsidRPr="00B862D8">
        <w:t xml:space="preserve"> </w:t>
      </w:r>
      <w:r w:rsidR="00BF0D37" w:rsidRPr="00B862D8">
        <w:t>is the</w:t>
      </w:r>
      <w:r w:rsidRPr="00B862D8">
        <w:t xml:space="preserve"> cow-calf breeding operations</w:t>
      </w:r>
      <w:r w:rsidR="00B43571" w:rsidRPr="00B862D8">
        <w:rPr>
          <w:vertAlign w:val="superscript"/>
        </w:rPr>
        <w:footnoteReference w:id="13"/>
      </w:r>
      <w:r w:rsidRPr="00B862D8">
        <w:t xml:space="preserve"> with or without rearing</w:t>
      </w:r>
      <w:r w:rsidR="00B43571" w:rsidRPr="00B862D8">
        <w:t xml:space="preserve"> of the calves</w:t>
      </w:r>
      <w:r w:rsidR="000D3FE3" w:rsidRPr="00B862D8">
        <w:t xml:space="preserve"> and where the cattle are raised on natural pasture with very little </w:t>
      </w:r>
      <w:r w:rsidR="00BF0D37" w:rsidRPr="00B862D8">
        <w:t xml:space="preserve">or no </w:t>
      </w:r>
      <w:r w:rsidR="000D3FE3" w:rsidRPr="00B862D8">
        <w:t>use of feed supplements</w:t>
      </w:r>
      <w:r w:rsidRPr="00B862D8">
        <w:t xml:space="preserve">. </w:t>
      </w:r>
      <w:r w:rsidR="00BF0D37" w:rsidRPr="00B862D8">
        <w:t xml:space="preserve">The </w:t>
      </w:r>
      <w:r w:rsidRPr="00B862D8">
        <w:t>Map</w:t>
      </w:r>
      <w:r w:rsidR="00BF0D37" w:rsidRPr="00B862D8">
        <w:t xml:space="preserve"> in Figure</w:t>
      </w:r>
      <w:r w:rsidRPr="00B862D8">
        <w:t xml:space="preserve"> 2.</w:t>
      </w:r>
      <w:r w:rsidR="00BF0D37" w:rsidRPr="00B862D8">
        <w:t>5</w:t>
      </w:r>
      <w:r w:rsidRPr="00B862D8">
        <w:t xml:space="preserve"> presents the distribution of the beef cattle production systems</w:t>
      </w:r>
      <w:r w:rsidRPr="00B862D8">
        <w:rPr>
          <w:vertAlign w:val="superscript"/>
        </w:rPr>
        <w:footnoteReference w:id="14"/>
      </w:r>
      <w:r w:rsidRPr="00B862D8">
        <w:t xml:space="preserve"> throughout the SWBA.</w:t>
      </w:r>
      <w:r w:rsidRPr="00B862D8">
        <w:rPr>
          <w:i/>
        </w:rPr>
        <w:t xml:space="preserve"> </w:t>
      </w:r>
    </w:p>
    <w:p w:rsidR="006644D8" w:rsidRPr="006644D8" w:rsidRDefault="00583213" w:rsidP="006644D8">
      <w:pPr>
        <w:pStyle w:val="WBReport"/>
        <w:rPr>
          <w:i/>
        </w:rPr>
      </w:pPr>
      <w:r w:rsidRPr="00B862D8">
        <w:rPr>
          <w:b/>
          <w:i/>
        </w:rPr>
        <w:t>Cattle production in SWBA is closely synchronized with the agro-climatic seasons</w:t>
      </w:r>
      <w:r w:rsidR="00B30E14" w:rsidRPr="00B862D8">
        <w:rPr>
          <w:b/>
          <w:i/>
        </w:rPr>
        <w:t xml:space="preserve"> in order to match the nut</w:t>
      </w:r>
      <w:r w:rsidR="00AC0FA5" w:rsidRPr="00B862D8">
        <w:rPr>
          <w:b/>
          <w:i/>
        </w:rPr>
        <w:t>r</w:t>
      </w:r>
      <w:r w:rsidR="00B30E14" w:rsidRPr="00B862D8">
        <w:rPr>
          <w:b/>
          <w:i/>
        </w:rPr>
        <w:t>itional requirements of the cow with periods of peak pasture production</w:t>
      </w:r>
      <w:r w:rsidRPr="00B862D8">
        <w:rPr>
          <w:b/>
          <w:i/>
        </w:rPr>
        <w:t>.</w:t>
      </w:r>
      <w:r w:rsidRPr="00B862D8">
        <w:rPr>
          <w:i/>
        </w:rPr>
        <w:t xml:space="preserve">  </w:t>
      </w:r>
      <w:r w:rsidR="000D3FE3" w:rsidRPr="00B862D8">
        <w:t>The goal of every cow-breeding herd owner is to achieve the maximum conception and calving rates in their herds</w:t>
      </w:r>
      <w:r w:rsidR="00B30E14" w:rsidRPr="00B862D8">
        <w:t xml:space="preserve"> (</w:t>
      </w:r>
      <w:r w:rsidR="008A22FC" w:rsidRPr="00B862D8">
        <w:t>the best herds target conception rates of 90% to 95% or higher</w:t>
      </w:r>
      <w:r w:rsidR="00B30E14" w:rsidRPr="00B862D8">
        <w:t xml:space="preserve">) and the key to ensuring high conception rates is to ensure the cow has adequate nutrition. Cows are serviced in </w:t>
      </w:r>
      <w:r w:rsidR="008A22FC" w:rsidRPr="00B862D8">
        <w:t>spring</w:t>
      </w:r>
      <w:r w:rsidR="00B30E14" w:rsidRPr="00FE24C0">
        <w:rPr>
          <w:b/>
          <w:vertAlign w:val="superscript"/>
        </w:rPr>
        <w:footnoteReference w:id="15"/>
      </w:r>
      <w:r w:rsidR="008A22FC" w:rsidRPr="00B862D8">
        <w:t xml:space="preserve"> (</w:t>
      </w:r>
      <w:r w:rsidR="00D11863" w:rsidRPr="00B862D8">
        <w:t xml:space="preserve">typically </w:t>
      </w:r>
      <w:r w:rsidR="00331933" w:rsidRPr="00B862D8">
        <w:t xml:space="preserve">from </w:t>
      </w:r>
      <w:r w:rsidR="00D11863" w:rsidRPr="00B862D8">
        <w:t>October through December</w:t>
      </w:r>
      <w:r w:rsidR="008A22FC" w:rsidRPr="00B862D8">
        <w:t xml:space="preserve">) </w:t>
      </w:r>
      <w:r w:rsidR="00D11863" w:rsidRPr="00B862D8">
        <w:t xml:space="preserve">over a period of up to 90 days </w:t>
      </w:r>
      <w:r w:rsidR="008A22FC" w:rsidRPr="00B862D8">
        <w:lastRenderedPageBreak/>
        <w:t xml:space="preserve">when the cows are in optimal condition and </w:t>
      </w:r>
      <w:r w:rsidR="00AC0FA5" w:rsidRPr="00B862D8">
        <w:t xml:space="preserve">this period </w:t>
      </w:r>
      <w:r w:rsidR="00D11863" w:rsidRPr="00B862D8">
        <w:t>coincide</w:t>
      </w:r>
      <w:r w:rsidR="00AC0FA5" w:rsidRPr="00B862D8">
        <w:t>s</w:t>
      </w:r>
      <w:r w:rsidR="00D11863" w:rsidRPr="00B862D8">
        <w:t xml:space="preserve"> with the peak pasture/forage supply. The timing of servicing of the cows is also designed to </w:t>
      </w:r>
      <w:r w:rsidR="008A22FC" w:rsidRPr="00B862D8">
        <w:t xml:space="preserve">ensure that calving coincides with the </w:t>
      </w:r>
      <w:r w:rsidR="007E29C5">
        <w:t xml:space="preserve">end of winter / </w:t>
      </w:r>
      <w:r w:rsidR="008A22FC" w:rsidRPr="00B862D8">
        <w:t>start of spring the following year and when temperatures are rising and spring rainfall leads to rapid growth of the natural pasture a</w:t>
      </w:r>
      <w:r w:rsidR="00BF0D37" w:rsidRPr="00B862D8">
        <w:t>f</w:t>
      </w:r>
      <w:r w:rsidR="008A22FC" w:rsidRPr="00B862D8">
        <w:t xml:space="preserve">ter the winter dormant period.  The calves are then weaned at </w:t>
      </w:r>
      <w:r w:rsidR="001E4E6D" w:rsidRPr="00B862D8">
        <w:t xml:space="preserve">about </w:t>
      </w:r>
      <w:r w:rsidR="008A22FC" w:rsidRPr="00B862D8">
        <w:t xml:space="preserve">6 months </w:t>
      </w:r>
      <w:r w:rsidR="00331933" w:rsidRPr="00B862D8">
        <w:t>from</w:t>
      </w:r>
      <w:r w:rsidR="008A22FC" w:rsidRPr="00B862D8">
        <w:t xml:space="preserve"> </w:t>
      </w:r>
      <w:r w:rsidR="00D11863" w:rsidRPr="00B862D8">
        <w:t xml:space="preserve">January to </w:t>
      </w:r>
      <w:r w:rsidR="00B75097" w:rsidRPr="00B862D8">
        <w:t>April</w:t>
      </w:r>
      <w:r w:rsidR="008A22FC" w:rsidRPr="00B862D8">
        <w:t xml:space="preserve"> and </w:t>
      </w:r>
      <w:r w:rsidR="00D11863" w:rsidRPr="00B862D8">
        <w:t xml:space="preserve">are </w:t>
      </w:r>
      <w:r w:rsidR="008A22FC" w:rsidRPr="00B862D8">
        <w:t>typically sold on to complete cycle cattle pro</w:t>
      </w:r>
      <w:r w:rsidR="0063609E" w:rsidRPr="00B862D8">
        <w:t>ducers a</w:t>
      </w:r>
      <w:r w:rsidR="008A22FC" w:rsidRPr="00B862D8">
        <w:t xml:space="preserve">nd </w:t>
      </w:r>
      <w:r w:rsidR="0063609E" w:rsidRPr="00B862D8">
        <w:t>o</w:t>
      </w:r>
      <w:r w:rsidR="008A22FC" w:rsidRPr="00B862D8">
        <w:t>r specialist feedlot beef fatteners.</w:t>
      </w:r>
    </w:p>
    <w:p w:rsidR="008A22FC" w:rsidRPr="006644D8" w:rsidRDefault="008A22FC" w:rsidP="006644D8">
      <w:pPr>
        <w:pStyle w:val="WBReport"/>
        <w:rPr>
          <w:i/>
        </w:rPr>
      </w:pPr>
      <w:r w:rsidRPr="006644D8">
        <w:rPr>
          <w:b/>
          <w:i/>
        </w:rPr>
        <w:t>One of the major strengths of cattle production in SWBA is that the Cow-calf herds are maintained on natural pastures with little or no use of external supplem</w:t>
      </w:r>
      <w:r w:rsidR="00FA4CEB" w:rsidRPr="006644D8">
        <w:rPr>
          <w:b/>
          <w:i/>
        </w:rPr>
        <w:t>en</w:t>
      </w:r>
      <w:r w:rsidRPr="006644D8">
        <w:rPr>
          <w:b/>
          <w:i/>
        </w:rPr>
        <w:t>tary feeds and therefore this is a relatively low cost system.</w:t>
      </w:r>
      <w:r w:rsidRPr="006644D8">
        <w:rPr>
          <w:i/>
        </w:rPr>
        <w:t xml:space="preserve"> </w:t>
      </w:r>
      <w:r w:rsidRPr="006644D8">
        <w:t xml:space="preserve">Conversely the disadvantage of the system is that </w:t>
      </w:r>
      <w:r w:rsidR="0063609E" w:rsidRPr="006644D8">
        <w:t>under the low rainfall regime</w:t>
      </w:r>
      <w:r w:rsidR="00FA4CEB" w:rsidRPr="006644D8">
        <w:t>,</w:t>
      </w:r>
      <w:r w:rsidR="0063609E" w:rsidRPr="006644D8">
        <w:t xml:space="preserve"> pasture production levels are low and stocking rates are </w:t>
      </w:r>
      <w:r w:rsidR="00FA4CEB" w:rsidRPr="006644D8">
        <w:t xml:space="preserve">consequently </w:t>
      </w:r>
      <w:r w:rsidR="0063609E" w:rsidRPr="006644D8">
        <w:t xml:space="preserve">low requiring more grazing land. Also the natural pasture system is very much more exposed to drought related shocks than mixed natural and cultivated pasture and forage crop systems.  </w:t>
      </w:r>
    </w:p>
    <w:p w:rsidR="00583213" w:rsidRPr="00FE24C0" w:rsidRDefault="00937F0B" w:rsidP="00D96CE8">
      <w:pPr>
        <w:pStyle w:val="HeadFiguresTablesBoxes"/>
      </w:pPr>
      <w:proofErr w:type="gramStart"/>
      <w:r w:rsidRPr="00FE24C0">
        <w:t>Figure 2.5</w:t>
      </w:r>
      <w:r w:rsidR="00583213" w:rsidRPr="00FE24C0">
        <w:t>.</w:t>
      </w:r>
      <w:proofErr w:type="gramEnd"/>
      <w:r w:rsidR="00583213" w:rsidRPr="00FE24C0">
        <w:t xml:space="preserve"> </w:t>
      </w:r>
      <w:proofErr w:type="gramStart"/>
      <w:r w:rsidR="00583213" w:rsidRPr="00FE24C0">
        <w:t>Agricultural Crop and Livestock Production Systems of SWBA.</w:t>
      </w:r>
      <w:proofErr w:type="gramEnd"/>
    </w:p>
    <w:p w:rsidR="00583213" w:rsidRPr="00FE24C0" w:rsidRDefault="00130500" w:rsidP="005F6C39">
      <w:pPr>
        <w:pStyle w:val="APDroughtPara"/>
        <w:numPr>
          <w:ilvl w:val="0"/>
          <w:numId w:val="0"/>
        </w:numPr>
        <w:spacing w:after="60"/>
        <w:jc w:val="center"/>
        <w:outlineLvl w:val="9"/>
        <w:rPr>
          <w:b/>
          <w:i/>
          <w:noProof/>
          <w:szCs w:val="22"/>
          <w:lang w:eastAsia="en-GB"/>
        </w:rPr>
      </w:pPr>
      <w:r w:rsidRPr="00FE24C0">
        <w:rPr>
          <w:b/>
          <w:i/>
          <w:noProof/>
          <w:szCs w:val="22"/>
          <w:lang w:val="es-AR" w:eastAsia="es-AR"/>
        </w:rPr>
        <w:drawing>
          <wp:inline distT="0" distB="0" distL="0" distR="0">
            <wp:extent cx="2678976" cy="3457875"/>
            <wp:effectExtent l="19050" t="19050" r="26124" b="28275"/>
            <wp:docPr id="10" name="Picture 5" descr="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1"/>
                    <pic:cNvPicPr>
                      <a:picLocks noChangeAspect="1" noChangeArrowheads="1"/>
                    </pic:cNvPicPr>
                  </pic:nvPicPr>
                  <pic:blipFill>
                    <a:blip r:embed="rId18" cstate="print"/>
                    <a:srcRect/>
                    <a:stretch>
                      <a:fillRect/>
                    </a:stretch>
                  </pic:blipFill>
                  <pic:spPr bwMode="auto">
                    <a:xfrm>
                      <a:off x="0" y="0"/>
                      <a:ext cx="2686417" cy="3467479"/>
                    </a:xfrm>
                    <a:prstGeom prst="rect">
                      <a:avLst/>
                    </a:prstGeom>
                    <a:solidFill>
                      <a:srgbClr val="000000"/>
                    </a:solidFill>
                    <a:ln w="9525" cmpd="sng">
                      <a:solidFill>
                        <a:srgbClr val="000000"/>
                      </a:solidFill>
                      <a:miter lim="800000"/>
                      <a:headEnd/>
                      <a:tailEnd/>
                    </a:ln>
                    <a:effectLst/>
                  </pic:spPr>
                </pic:pic>
              </a:graphicData>
            </a:graphic>
          </wp:inline>
        </w:drawing>
      </w:r>
    </w:p>
    <w:p w:rsidR="006644D8" w:rsidRDefault="00583213" w:rsidP="006644D8">
      <w:pPr>
        <w:pStyle w:val="APDroughtPara"/>
        <w:numPr>
          <w:ilvl w:val="0"/>
          <w:numId w:val="0"/>
        </w:numPr>
        <w:jc w:val="center"/>
        <w:outlineLvl w:val="9"/>
        <w:rPr>
          <w:rStyle w:val="SourceCar"/>
          <w:sz w:val="20"/>
          <w:szCs w:val="20"/>
        </w:rPr>
      </w:pPr>
      <w:r w:rsidRPr="00FE24C0">
        <w:rPr>
          <w:rStyle w:val="SourceCar"/>
          <w:sz w:val="20"/>
          <w:szCs w:val="20"/>
        </w:rPr>
        <w:t>Source Authors from INTA</w:t>
      </w:r>
      <w:r w:rsidRPr="00FE24C0">
        <w:rPr>
          <w:rStyle w:val="Refdenotaalpie"/>
          <w:noProof/>
          <w:sz w:val="20"/>
          <w:szCs w:val="20"/>
        </w:rPr>
        <w:footnoteReference w:id="16"/>
      </w:r>
    </w:p>
    <w:p w:rsidR="008F4220" w:rsidRDefault="008F4220" w:rsidP="006644D8">
      <w:pPr>
        <w:pStyle w:val="Subttulo"/>
        <w:numPr>
          <w:ilvl w:val="0"/>
          <w:numId w:val="0"/>
        </w:numPr>
      </w:pPr>
    </w:p>
    <w:p w:rsidR="006644D8" w:rsidRDefault="00063C37" w:rsidP="006644D8">
      <w:pPr>
        <w:pStyle w:val="Subttulo"/>
        <w:numPr>
          <w:ilvl w:val="0"/>
          <w:numId w:val="0"/>
        </w:numPr>
      </w:pPr>
      <w:bookmarkStart w:id="14" w:name="_Toc345794255"/>
      <w:r w:rsidRPr="006644D8">
        <w:t>Climatic Risk Exposures to Cattle and Pasture Production in SWBA</w:t>
      </w:r>
      <w:bookmarkEnd w:id="14"/>
    </w:p>
    <w:p w:rsidR="006644D8" w:rsidRDefault="00F6053C" w:rsidP="006644D8">
      <w:pPr>
        <w:pStyle w:val="WBReport"/>
      </w:pPr>
      <w:r w:rsidRPr="006644D8">
        <w:rPr>
          <w:b/>
          <w:i/>
        </w:rPr>
        <w:t>In SWBA cattle production is based on extensive grazing of natural grassland which is grown under rain fed conditions.</w:t>
      </w:r>
      <w:r w:rsidRPr="00FE24C0">
        <w:rPr>
          <w:i/>
        </w:rPr>
        <w:t xml:space="preserve"> </w:t>
      </w:r>
      <w:r w:rsidRPr="00FE24C0">
        <w:t xml:space="preserve">Cattle rearing and fattening is therefore highly dependent on </w:t>
      </w:r>
      <w:r w:rsidRPr="00FE24C0">
        <w:lastRenderedPageBreak/>
        <w:t xml:space="preserve">adequate rainfall during the </w:t>
      </w:r>
      <w:r w:rsidR="00134FF7" w:rsidRPr="00FE24C0">
        <w:t xml:space="preserve">spring </w:t>
      </w:r>
      <w:r w:rsidRPr="00FE24C0">
        <w:t xml:space="preserve">and autumn to produce the pasture </w:t>
      </w:r>
      <w:r w:rsidR="00134FF7" w:rsidRPr="00FE24C0">
        <w:t xml:space="preserve">production and grazing </w:t>
      </w:r>
      <w:r w:rsidRPr="00FE24C0">
        <w:t xml:space="preserve">required </w:t>
      </w:r>
      <w:r w:rsidR="00134FF7" w:rsidRPr="00FE24C0">
        <w:t>by</w:t>
      </w:r>
      <w:r w:rsidRPr="00FE24C0">
        <w:t xml:space="preserve"> the cattle.</w:t>
      </w:r>
      <w:r w:rsidR="00D63558" w:rsidRPr="00FE24C0">
        <w:t xml:space="preserve"> There are two main rainy seasons, spring and autumn</w:t>
      </w:r>
      <w:r w:rsidR="009837ED" w:rsidRPr="00FE24C0">
        <w:t>,</w:t>
      </w:r>
      <w:r w:rsidR="00D63558" w:rsidRPr="00FE24C0">
        <w:t xml:space="preserve"> and two dry seasons in winter and then in summer (January and February) when temperatures can be very high (Glave</w:t>
      </w:r>
      <w:r w:rsidR="009837ED" w:rsidRPr="00FE24C0">
        <w:t>,</w:t>
      </w:r>
      <w:r w:rsidR="00D63558" w:rsidRPr="00FE24C0">
        <w:t xml:space="preserve"> 2006).</w:t>
      </w:r>
    </w:p>
    <w:p w:rsidR="006644D8" w:rsidRPr="006644D8" w:rsidRDefault="00F6053C" w:rsidP="006644D8">
      <w:pPr>
        <w:pStyle w:val="WBReport"/>
      </w:pPr>
      <w:r w:rsidRPr="006644D8">
        <w:rPr>
          <w:b/>
          <w:i/>
        </w:rPr>
        <w:t xml:space="preserve">Rainfall in SWBA is </w:t>
      </w:r>
      <w:r w:rsidR="00134FF7" w:rsidRPr="006644D8">
        <w:rPr>
          <w:b/>
          <w:i/>
        </w:rPr>
        <w:t xml:space="preserve">variable both </w:t>
      </w:r>
      <w:proofErr w:type="gramStart"/>
      <w:r w:rsidR="00134FF7" w:rsidRPr="006644D8">
        <w:rPr>
          <w:b/>
          <w:i/>
        </w:rPr>
        <w:t>year</w:t>
      </w:r>
      <w:proofErr w:type="gramEnd"/>
      <w:r w:rsidR="00134FF7" w:rsidRPr="006644D8">
        <w:rPr>
          <w:b/>
          <w:i/>
        </w:rPr>
        <w:t xml:space="preserve"> on year and within years.</w:t>
      </w:r>
      <w:r w:rsidRPr="006644D8">
        <w:rPr>
          <w:i/>
        </w:rPr>
        <w:t xml:space="preserve"> </w:t>
      </w:r>
      <w:r w:rsidR="00134FF7" w:rsidRPr="006644D8">
        <w:t>Annual rainfall is highly varia</w:t>
      </w:r>
      <w:r w:rsidR="00EC3D2F" w:rsidRPr="006644D8">
        <w:t>ble as shown by the coefficient</w:t>
      </w:r>
      <w:r w:rsidR="009837ED" w:rsidRPr="006644D8">
        <w:t>s</w:t>
      </w:r>
      <w:r w:rsidR="00134FF7" w:rsidRPr="006644D8">
        <w:t xml:space="preserve"> </w:t>
      </w:r>
      <w:r w:rsidR="00EC3D2F" w:rsidRPr="006644D8">
        <w:t xml:space="preserve">of variation (COV) </w:t>
      </w:r>
      <w:r w:rsidR="00134FF7" w:rsidRPr="006644D8">
        <w:t xml:space="preserve">around mean rainfall which are typically in the order of 25% to 35% for the selected stations. Rainfall is even more variable by month as shown by </w:t>
      </w:r>
      <w:r w:rsidR="00EC3D2F" w:rsidRPr="006644D8">
        <w:t>COVs</w:t>
      </w:r>
      <w:r w:rsidR="00134FF7" w:rsidRPr="006644D8">
        <w:t xml:space="preserve"> in monthly rainfall</w:t>
      </w:r>
      <w:r w:rsidR="00A763C2" w:rsidRPr="006644D8">
        <w:t xml:space="preserve"> of about 75% in the </w:t>
      </w:r>
      <w:r w:rsidR="00EC3D2F" w:rsidRPr="006644D8">
        <w:t xml:space="preserve">spring </w:t>
      </w:r>
      <w:r w:rsidR="00A763C2" w:rsidRPr="006644D8">
        <w:t xml:space="preserve">rainy season (September to </w:t>
      </w:r>
      <w:r w:rsidR="00EC3D2F" w:rsidRPr="006644D8">
        <w:t>December</w:t>
      </w:r>
      <w:r w:rsidR="00A763C2" w:rsidRPr="006644D8">
        <w:t>) and often greater than 100% in the winter dry months</w:t>
      </w:r>
      <w:r w:rsidR="005504A7" w:rsidRPr="006644D8">
        <w:t>.</w:t>
      </w:r>
      <w:r w:rsidR="00134FF7" w:rsidRPr="006644D8">
        <w:rPr>
          <w:i/>
        </w:rPr>
        <w:t xml:space="preserve"> </w:t>
      </w:r>
      <w:r w:rsidR="00A763C2" w:rsidRPr="006644D8">
        <w:rPr>
          <w:i/>
        </w:rPr>
        <w:t xml:space="preserve"> </w:t>
      </w:r>
    </w:p>
    <w:p w:rsidR="006644D8" w:rsidRDefault="00A763C2" w:rsidP="006644D8">
      <w:pPr>
        <w:pStyle w:val="WBReport"/>
      </w:pPr>
      <w:r w:rsidRPr="006644D8">
        <w:rPr>
          <w:b/>
          <w:i/>
        </w:rPr>
        <w:t xml:space="preserve">Rainfall patterns in </w:t>
      </w:r>
      <w:r w:rsidR="00905DCD" w:rsidRPr="006644D8">
        <w:rPr>
          <w:b/>
          <w:i/>
        </w:rPr>
        <w:t xml:space="preserve">Argentina and in </w:t>
      </w:r>
      <w:r w:rsidRPr="006644D8">
        <w:rPr>
          <w:b/>
          <w:i/>
        </w:rPr>
        <w:t>SWBA are affected by the ENSO El Ni</w:t>
      </w:r>
      <w:r w:rsidR="00F2328D" w:rsidRPr="006644D8">
        <w:rPr>
          <w:b/>
          <w:i/>
        </w:rPr>
        <w:t>ñ</w:t>
      </w:r>
      <w:r w:rsidRPr="006644D8">
        <w:rPr>
          <w:b/>
          <w:i/>
        </w:rPr>
        <w:t>o phenomenon.</w:t>
      </w:r>
      <w:r w:rsidRPr="006644D8">
        <w:rPr>
          <w:i/>
        </w:rPr>
        <w:t xml:space="preserve">  </w:t>
      </w:r>
      <w:r w:rsidRPr="006644D8">
        <w:t>In the E</w:t>
      </w:r>
      <w:r w:rsidR="00DF3794" w:rsidRPr="006644D8">
        <w:t>l</w:t>
      </w:r>
      <w:r w:rsidRPr="006644D8">
        <w:t xml:space="preserve"> Ni</w:t>
      </w:r>
      <w:r w:rsidR="00F2328D" w:rsidRPr="006644D8">
        <w:t>ñ</w:t>
      </w:r>
      <w:r w:rsidRPr="006644D8">
        <w:t>o phase, autumn</w:t>
      </w:r>
      <w:r w:rsidR="00F2328D" w:rsidRPr="006644D8">
        <w:t xml:space="preserve"> and </w:t>
      </w:r>
      <w:r w:rsidRPr="006644D8">
        <w:t>winter rainfall between April-May and July-August tends to be increased, while there is no marked tendency on spring/early summer rainfall from October to December. Conversely in the La Ni</w:t>
      </w:r>
      <w:r w:rsidR="00F2328D" w:rsidRPr="006644D8">
        <w:t>ñ</w:t>
      </w:r>
      <w:r w:rsidRPr="006644D8">
        <w:t xml:space="preserve">a phase, the tendency is for </w:t>
      </w:r>
      <w:r w:rsidR="00905DCD" w:rsidRPr="006644D8">
        <w:t>autumn rainfall (</w:t>
      </w:r>
      <w:r w:rsidRPr="006644D8">
        <w:t>April to May</w:t>
      </w:r>
      <w:r w:rsidR="00905DCD" w:rsidRPr="006644D8">
        <w:t>) and spring rainfall (September to November) to</w:t>
      </w:r>
      <w:r w:rsidRPr="006644D8">
        <w:t xml:space="preserve"> </w:t>
      </w:r>
      <w:r w:rsidR="00905DCD" w:rsidRPr="006644D8">
        <w:t>be below average (INTA 2011</w:t>
      </w:r>
      <w:r w:rsidR="00FD5242" w:rsidRPr="006644D8">
        <w:t>;</w:t>
      </w:r>
      <w:r w:rsidR="00D63558" w:rsidRPr="006644D8">
        <w:t xml:space="preserve"> Campo et al 2009</w:t>
      </w:r>
      <w:r w:rsidR="00905DCD" w:rsidRPr="006644D8">
        <w:t>).  In other words</w:t>
      </w:r>
      <w:r w:rsidR="000D4BD7" w:rsidRPr="006644D8">
        <w:t>, the</w:t>
      </w:r>
      <w:r w:rsidR="00D83760" w:rsidRPr="006644D8">
        <w:t>,</w:t>
      </w:r>
      <w:r w:rsidR="00905DCD" w:rsidRPr="006644D8">
        <w:t xml:space="preserve"> La Ni</w:t>
      </w:r>
      <w:r w:rsidR="00F2328D" w:rsidRPr="006644D8">
        <w:t>ñ</w:t>
      </w:r>
      <w:r w:rsidR="00905DCD" w:rsidRPr="006644D8">
        <w:t>a phase tends to be associated with droughts in Argentina.</w:t>
      </w:r>
    </w:p>
    <w:p w:rsidR="006644D8" w:rsidRDefault="004735FF" w:rsidP="006644D8">
      <w:pPr>
        <w:pStyle w:val="WBReport"/>
      </w:pPr>
      <w:r w:rsidRPr="006644D8">
        <w:rPr>
          <w:b/>
          <w:i/>
        </w:rPr>
        <w:t>Th</w:t>
      </w:r>
      <w:r w:rsidR="00DD3518" w:rsidRPr="006644D8">
        <w:rPr>
          <w:b/>
          <w:i/>
        </w:rPr>
        <w:t>ere is a relatively high exposure to weak to moderate drought years in the SWBA region.</w:t>
      </w:r>
      <w:r w:rsidR="00DD3518" w:rsidRPr="006644D8">
        <w:rPr>
          <w:i/>
        </w:rPr>
        <w:t xml:space="preserve"> </w:t>
      </w:r>
      <w:r w:rsidR="00640631" w:rsidRPr="006644D8">
        <w:t>An analysis</w:t>
      </w:r>
      <w:r w:rsidR="00991404" w:rsidRPr="006644D8">
        <w:rPr>
          <w:b/>
          <w:vertAlign w:val="superscript"/>
        </w:rPr>
        <w:footnoteReference w:id="17"/>
      </w:r>
      <w:r w:rsidR="00991404" w:rsidRPr="006644D8">
        <w:rPr>
          <w:vertAlign w:val="superscript"/>
        </w:rPr>
        <w:t xml:space="preserve"> </w:t>
      </w:r>
      <w:r w:rsidR="00640631" w:rsidRPr="006644D8">
        <w:t xml:space="preserve"> of monthly and annual rainfall data has been conducted for six</w:t>
      </w:r>
      <w:r w:rsidR="004012B0" w:rsidRPr="00FE24C0">
        <w:rPr>
          <w:rStyle w:val="Refdenotaalpie"/>
          <w:b/>
        </w:rPr>
        <w:footnoteReference w:id="18"/>
      </w:r>
      <w:r w:rsidR="007B3941">
        <w:t xml:space="preserve"> </w:t>
      </w:r>
      <w:r w:rsidR="00640631" w:rsidRPr="006644D8">
        <w:t>weather stations located in various departments in Buenos Aires (BA) Province for the past 40 years (1970 to 2009)</w:t>
      </w:r>
      <w:r w:rsidR="0074701C">
        <w:rPr>
          <w:rStyle w:val="Refdenotaalpie"/>
        </w:rPr>
        <w:footnoteReference w:id="19"/>
      </w:r>
      <w:r w:rsidR="00640631" w:rsidRPr="006644D8">
        <w:t>. The analysis includes Bahia Blanca which is located in the NDVI-pasture insurance study area of SWBA. The annual rainfall data have been classified into normal years and years of excess rainfall or rainfall deficit (drought) using the classification set out in Annex 1.  A summary is presented in Table 2.1 showing that drought years are a regular feature of B</w:t>
      </w:r>
      <w:r w:rsidR="00D6720B">
        <w:t xml:space="preserve">uenos </w:t>
      </w:r>
      <w:r w:rsidR="00640631" w:rsidRPr="006644D8">
        <w:t>A</w:t>
      </w:r>
      <w:r w:rsidR="00D6720B">
        <w:t>ires</w:t>
      </w:r>
      <w:r w:rsidR="00640631" w:rsidRPr="006644D8">
        <w:t xml:space="preserve"> Province with range from a minimum of 10 drought years (25% of all years) in Bahia Blanca and </w:t>
      </w:r>
      <w:r w:rsidR="00640631" w:rsidRPr="006644D8">
        <w:lastRenderedPageBreak/>
        <w:t>Tres Arroyos weather stations to a maximum of 13 years (33% frequency) in Bordenave weather station.</w:t>
      </w:r>
    </w:p>
    <w:p w:rsidR="003757DE" w:rsidRDefault="003757DE" w:rsidP="006644D8">
      <w:pPr>
        <w:pStyle w:val="WBReport"/>
      </w:pPr>
      <w:r w:rsidRPr="006644D8">
        <w:rPr>
          <w:b/>
          <w:i/>
        </w:rPr>
        <w:t xml:space="preserve">Years in which weak or moderate droughts have been recorded at these </w:t>
      </w:r>
      <w:r w:rsidR="004735FF" w:rsidRPr="006644D8">
        <w:rPr>
          <w:b/>
          <w:i/>
        </w:rPr>
        <w:t xml:space="preserve">weather </w:t>
      </w:r>
      <w:r w:rsidRPr="006644D8">
        <w:rPr>
          <w:b/>
          <w:i/>
        </w:rPr>
        <w:t xml:space="preserve">stations in </w:t>
      </w:r>
      <w:r w:rsidR="006864B3" w:rsidRPr="006644D8">
        <w:rPr>
          <w:b/>
          <w:i/>
        </w:rPr>
        <w:t>SWBA region</w:t>
      </w:r>
      <w:r w:rsidR="001A24FC" w:rsidRPr="006644D8">
        <w:rPr>
          <w:i/>
        </w:rPr>
        <w:t xml:space="preserve"> </w:t>
      </w:r>
      <w:r w:rsidR="001A24FC" w:rsidRPr="006644D8">
        <w:t xml:space="preserve">include 1971, 1973, 1974, 1981, 1988, </w:t>
      </w:r>
      <w:r w:rsidR="004735FF" w:rsidRPr="006644D8">
        <w:t>1995, 1999, 2003, 2005, and then severe droughts have been registered in 2008 and especially in 2009 (See analysis presented in figures 2.</w:t>
      </w:r>
      <w:r w:rsidR="00F2328D" w:rsidRPr="006644D8">
        <w:t>6</w:t>
      </w:r>
      <w:r w:rsidR="004735FF" w:rsidRPr="006644D8">
        <w:t xml:space="preserve"> and 2.</w:t>
      </w:r>
      <w:r w:rsidR="00F2328D" w:rsidRPr="006644D8">
        <w:t>7</w:t>
      </w:r>
      <w:r w:rsidR="004735FF" w:rsidRPr="006644D8">
        <w:t>).</w:t>
      </w:r>
      <w:r w:rsidR="004735FF" w:rsidRPr="00BE5A17">
        <w:t xml:space="preserve"> </w:t>
      </w:r>
      <w:r w:rsidR="00360477" w:rsidRPr="00BE5A17">
        <w:t>I</w:t>
      </w:r>
      <w:r w:rsidR="00360477" w:rsidRPr="00360477">
        <w:t xml:space="preserve">t is also noted that </w:t>
      </w:r>
      <w:r w:rsidR="00200DE8">
        <w:t xml:space="preserve">spring </w:t>
      </w:r>
      <w:r w:rsidR="00360477" w:rsidRPr="00360477">
        <w:t>2011</w:t>
      </w:r>
      <w:r w:rsidR="00200DE8">
        <w:t xml:space="preserve"> and summer 2011</w:t>
      </w:r>
      <w:r w:rsidR="00360477" w:rsidRPr="00360477">
        <w:t>-12</w:t>
      </w:r>
      <w:r w:rsidR="007E29C5">
        <w:t xml:space="preserve"> was a severe drought period in much of Argentina. </w:t>
      </w:r>
      <w:r w:rsidR="004735FF" w:rsidRPr="006644D8">
        <w:t>Drought years which were also La Ni</w:t>
      </w:r>
      <w:r w:rsidR="00F2328D" w:rsidRPr="006644D8">
        <w:t>ñ</w:t>
      </w:r>
      <w:r w:rsidR="004735FF" w:rsidRPr="006644D8">
        <w:t>a years include 1973</w:t>
      </w:r>
      <w:r w:rsidR="003C082F" w:rsidRPr="006644D8">
        <w:t xml:space="preserve"> to </w:t>
      </w:r>
      <w:r w:rsidR="004735FF" w:rsidRPr="006644D8">
        <w:t>197</w:t>
      </w:r>
      <w:r w:rsidR="003C082F" w:rsidRPr="006644D8">
        <w:t>5</w:t>
      </w:r>
      <w:r w:rsidR="004735FF" w:rsidRPr="006644D8">
        <w:t xml:space="preserve">, 1995, </w:t>
      </w:r>
      <w:r w:rsidR="00D63558" w:rsidRPr="006644D8">
        <w:t xml:space="preserve">1988, </w:t>
      </w:r>
      <w:r w:rsidR="003C082F" w:rsidRPr="006644D8">
        <w:t xml:space="preserve">1999-2000, </w:t>
      </w:r>
      <w:r w:rsidR="004735FF" w:rsidRPr="006644D8">
        <w:t xml:space="preserve">2005, </w:t>
      </w:r>
      <w:r w:rsidR="006221BA" w:rsidRPr="006644D8">
        <w:t>2007</w:t>
      </w:r>
      <w:r w:rsidR="004735FF" w:rsidRPr="006644D8">
        <w:t xml:space="preserve">, </w:t>
      </w:r>
      <w:r w:rsidR="00D63558" w:rsidRPr="006644D8">
        <w:t xml:space="preserve">and the </w:t>
      </w:r>
      <w:r w:rsidR="004735FF" w:rsidRPr="006644D8">
        <w:t>very severe drought year of 2008</w:t>
      </w:r>
      <w:r w:rsidR="001A24FC" w:rsidRPr="006644D8">
        <w:t xml:space="preserve">. The rainfall analysis also indicates that the quantity of moderate to severe events reported by each weather station has increased particularly during the last decade: while two moderate to severe drought events were registered among the </w:t>
      </w:r>
      <w:r w:rsidR="00C30F1C">
        <w:t xml:space="preserve">5 </w:t>
      </w:r>
      <w:r w:rsidR="001A24FC" w:rsidRPr="006644D8">
        <w:t xml:space="preserve">weather stations during the period of 1980-89 and 1990-99, twelve similar events were registered </w:t>
      </w:r>
      <w:r w:rsidR="00C30F1C">
        <w:t xml:space="preserve">by the same 5 weather stations </w:t>
      </w:r>
      <w:r w:rsidR="001A24FC" w:rsidRPr="006644D8">
        <w:t>between the year 2000 and 2009.</w:t>
      </w:r>
    </w:p>
    <w:p w:rsidR="000943E6" w:rsidRPr="00FE24C0" w:rsidRDefault="00134FF7" w:rsidP="00D96CE8">
      <w:pPr>
        <w:pStyle w:val="HeadFiguresTablesBoxes"/>
      </w:pPr>
      <w:proofErr w:type="gramStart"/>
      <w:r w:rsidRPr="00FE24C0">
        <w:t>Table 2.</w:t>
      </w:r>
      <w:r w:rsidR="00F2328D" w:rsidRPr="00FE24C0">
        <w:t>1</w:t>
      </w:r>
      <w:r w:rsidRPr="00FE24C0">
        <w:t>.</w:t>
      </w:r>
      <w:proofErr w:type="gramEnd"/>
      <w:r w:rsidRPr="00FE24C0">
        <w:t xml:space="preserve"> </w:t>
      </w:r>
      <w:proofErr w:type="gramStart"/>
      <w:r w:rsidR="00B13F1D" w:rsidRPr="00FE24C0" w:rsidDel="007D44BD">
        <w:t>So</w:t>
      </w:r>
      <w:r w:rsidRPr="00FE24C0" w:rsidDel="007D44BD">
        <w:t>u</w:t>
      </w:r>
      <w:r w:rsidR="00B13F1D" w:rsidRPr="00FE24C0" w:rsidDel="007D44BD">
        <w:t>th West Buenos Aires.</w:t>
      </w:r>
      <w:proofErr w:type="gramEnd"/>
      <w:r w:rsidR="00B13F1D" w:rsidRPr="00FE24C0" w:rsidDel="007D44BD">
        <w:t xml:space="preserve">  </w:t>
      </w:r>
      <w:r w:rsidR="00B13F1D" w:rsidRPr="00FE24C0">
        <w:t>Classification of Excess Rainfall and Drought Years by Weather Station (197</w:t>
      </w:r>
      <w:r w:rsidR="0082086F" w:rsidRPr="00FE24C0">
        <w:t>0</w:t>
      </w:r>
      <w:r w:rsidR="00B13F1D" w:rsidRPr="00FE24C0">
        <w:t xml:space="preserve"> to 20</w:t>
      </w:r>
      <w:r w:rsidR="00FC113D" w:rsidRPr="00FE24C0">
        <w:t>09</w:t>
      </w:r>
      <w:r w:rsidR="00B13F1D" w:rsidRPr="00FE24C0">
        <w:t>)</w:t>
      </w:r>
      <w:r w:rsidR="007D44BD" w:rsidRPr="00FE24C0">
        <w:t xml:space="preserve">, </w:t>
      </w:r>
      <w:r w:rsidR="007D5BAF">
        <w:t>by number of events (top) and frequency (bottom)</w:t>
      </w:r>
    </w:p>
    <w:tbl>
      <w:tblPr>
        <w:tblW w:w="8740" w:type="dxa"/>
        <w:tblInd w:w="98" w:type="dxa"/>
        <w:tblLook w:val="04A0"/>
      </w:tblPr>
      <w:tblGrid>
        <w:gridCol w:w="1413"/>
        <w:gridCol w:w="847"/>
        <w:gridCol w:w="1049"/>
        <w:gridCol w:w="1021"/>
        <w:gridCol w:w="990"/>
        <w:gridCol w:w="1170"/>
        <w:gridCol w:w="1260"/>
        <w:gridCol w:w="990"/>
      </w:tblGrid>
      <w:tr w:rsidR="00481138" w:rsidRPr="00FE24C0" w:rsidTr="00E87DDD">
        <w:trPr>
          <w:trHeight w:val="600"/>
        </w:trPr>
        <w:tc>
          <w:tcPr>
            <w:tcW w:w="1413" w:type="dxa"/>
            <w:tcBorders>
              <w:top w:val="single" w:sz="8" w:space="0" w:color="auto"/>
              <w:left w:val="single" w:sz="8" w:space="0" w:color="auto"/>
              <w:bottom w:val="single" w:sz="8" w:space="0" w:color="auto"/>
              <w:right w:val="nil"/>
            </w:tcBorders>
            <w:shd w:val="clear" w:color="000000" w:fill="FFFFFF"/>
            <w:noWrap/>
            <w:vAlign w:val="center"/>
            <w:hideMark/>
          </w:tcPr>
          <w:p w:rsidR="00B13F1D" w:rsidRPr="00FE24C0" w:rsidRDefault="00937F0B"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Rain gauge</w:t>
            </w:r>
          </w:p>
        </w:tc>
        <w:tc>
          <w:tcPr>
            <w:tcW w:w="847" w:type="dxa"/>
            <w:tcBorders>
              <w:top w:val="single" w:sz="8" w:space="0" w:color="auto"/>
              <w:left w:val="single" w:sz="8" w:space="0" w:color="auto"/>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Severe Excess</w:t>
            </w:r>
          </w:p>
        </w:tc>
        <w:tc>
          <w:tcPr>
            <w:tcW w:w="1049" w:type="dxa"/>
            <w:tcBorders>
              <w:top w:val="single" w:sz="8" w:space="0" w:color="auto"/>
              <w:left w:val="nil"/>
              <w:bottom w:val="single" w:sz="8" w:space="0" w:color="auto"/>
              <w:right w:val="single" w:sz="8" w:space="0" w:color="auto"/>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Moderate Excess</w:t>
            </w:r>
          </w:p>
        </w:tc>
        <w:tc>
          <w:tcPr>
            <w:tcW w:w="1021" w:type="dxa"/>
            <w:tcBorders>
              <w:top w:val="single" w:sz="8" w:space="0" w:color="auto"/>
              <w:left w:val="nil"/>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Weak Excess</w:t>
            </w:r>
          </w:p>
        </w:tc>
        <w:tc>
          <w:tcPr>
            <w:tcW w:w="990" w:type="dxa"/>
            <w:tcBorders>
              <w:top w:val="single" w:sz="8" w:space="0" w:color="auto"/>
              <w:left w:val="nil"/>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Normal</w:t>
            </w:r>
          </w:p>
        </w:tc>
        <w:tc>
          <w:tcPr>
            <w:tcW w:w="1170" w:type="dxa"/>
            <w:tcBorders>
              <w:top w:val="single" w:sz="8" w:space="0" w:color="auto"/>
              <w:left w:val="nil"/>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Weak Drought</w:t>
            </w:r>
          </w:p>
        </w:tc>
        <w:tc>
          <w:tcPr>
            <w:tcW w:w="1260" w:type="dxa"/>
            <w:tcBorders>
              <w:top w:val="single" w:sz="8" w:space="0" w:color="auto"/>
              <w:left w:val="single" w:sz="8" w:space="0" w:color="auto"/>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Moderate Drought</w:t>
            </w:r>
          </w:p>
        </w:tc>
        <w:tc>
          <w:tcPr>
            <w:tcW w:w="990" w:type="dxa"/>
            <w:tcBorders>
              <w:top w:val="single" w:sz="8" w:space="0" w:color="auto"/>
              <w:left w:val="nil"/>
              <w:bottom w:val="single" w:sz="8" w:space="0" w:color="auto"/>
              <w:right w:val="single" w:sz="8" w:space="0" w:color="auto"/>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Severe Drought</w:t>
            </w:r>
          </w:p>
        </w:tc>
      </w:tr>
      <w:tr w:rsidR="00481138" w:rsidRPr="00FE24C0" w:rsidTr="00E87DDD">
        <w:trPr>
          <w:trHeight w:val="30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Bahía Blanca</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4</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21</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w:t>
            </w:r>
          </w:p>
        </w:tc>
      </w:tr>
      <w:tr w:rsidR="00481138" w:rsidRPr="00FE24C0" w:rsidTr="00E87DDD">
        <w:trPr>
          <w:trHeight w:val="36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Bordenave</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4</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15</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8</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4</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w:t>
            </w:r>
          </w:p>
        </w:tc>
      </w:tr>
      <w:tr w:rsidR="00481138" w:rsidRPr="00FE24C0" w:rsidTr="00E87DDD">
        <w:trPr>
          <w:trHeight w:val="30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Cnel Pringles</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6</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4</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19</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9</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w:t>
            </w:r>
          </w:p>
        </w:tc>
      </w:tr>
      <w:tr w:rsidR="00481138" w:rsidRPr="00FE24C0" w:rsidTr="00E87DDD">
        <w:trPr>
          <w:trHeight w:val="48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Cnel Suárez</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19</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w:t>
            </w:r>
          </w:p>
        </w:tc>
      </w:tr>
      <w:tr w:rsidR="00481138" w:rsidRPr="00FE24C0" w:rsidTr="00E87DDD">
        <w:trPr>
          <w:trHeight w:val="33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Ascasubi</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22</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6</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r>
      <w:tr w:rsidR="00481138" w:rsidRPr="00FE24C0" w:rsidTr="00E87DDD">
        <w:trPr>
          <w:trHeight w:val="315"/>
        </w:trPr>
        <w:tc>
          <w:tcPr>
            <w:tcW w:w="1413" w:type="dxa"/>
            <w:tcBorders>
              <w:top w:val="nil"/>
              <w:left w:val="single" w:sz="8" w:space="0" w:color="auto"/>
              <w:bottom w:val="single" w:sz="8" w:space="0" w:color="auto"/>
              <w:right w:val="nil"/>
            </w:tcBorders>
            <w:shd w:val="clear" w:color="000000" w:fill="FFFFFF"/>
            <w:noWrap/>
            <w:vAlign w:val="center"/>
            <w:hideMark/>
          </w:tcPr>
          <w:p w:rsidR="00B13F1D" w:rsidRPr="00FE24C0" w:rsidRDefault="00B13F1D"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Tres Arroyos</w:t>
            </w:r>
          </w:p>
        </w:tc>
        <w:tc>
          <w:tcPr>
            <w:tcW w:w="847" w:type="dxa"/>
            <w:tcBorders>
              <w:top w:val="nil"/>
              <w:left w:val="single" w:sz="8" w:space="0" w:color="auto"/>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w:t>
            </w:r>
          </w:p>
        </w:tc>
        <w:tc>
          <w:tcPr>
            <w:tcW w:w="1049" w:type="dxa"/>
            <w:tcBorders>
              <w:top w:val="nil"/>
              <w:left w:val="nil"/>
              <w:bottom w:val="single" w:sz="8" w:space="0" w:color="auto"/>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w:t>
            </w:r>
          </w:p>
        </w:tc>
        <w:tc>
          <w:tcPr>
            <w:tcW w:w="1021" w:type="dxa"/>
            <w:tcBorders>
              <w:top w:val="nil"/>
              <w:left w:val="nil"/>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6</w:t>
            </w:r>
          </w:p>
        </w:tc>
        <w:tc>
          <w:tcPr>
            <w:tcW w:w="990" w:type="dxa"/>
            <w:tcBorders>
              <w:top w:val="nil"/>
              <w:left w:val="nil"/>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22</w:t>
            </w:r>
          </w:p>
        </w:tc>
        <w:tc>
          <w:tcPr>
            <w:tcW w:w="1170" w:type="dxa"/>
            <w:tcBorders>
              <w:top w:val="nil"/>
              <w:left w:val="nil"/>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8</w:t>
            </w:r>
          </w:p>
        </w:tc>
        <w:tc>
          <w:tcPr>
            <w:tcW w:w="1260" w:type="dxa"/>
            <w:tcBorders>
              <w:top w:val="nil"/>
              <w:left w:val="single" w:sz="8" w:space="0" w:color="auto"/>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w:t>
            </w:r>
          </w:p>
        </w:tc>
        <w:tc>
          <w:tcPr>
            <w:tcW w:w="990" w:type="dxa"/>
            <w:tcBorders>
              <w:top w:val="nil"/>
              <w:left w:val="nil"/>
              <w:bottom w:val="single" w:sz="8" w:space="0" w:color="auto"/>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w:t>
            </w:r>
          </w:p>
        </w:tc>
      </w:tr>
      <w:tr w:rsidR="00481138" w:rsidRPr="00FE24C0" w:rsidTr="00E87DDD">
        <w:trPr>
          <w:trHeight w:val="315"/>
        </w:trPr>
        <w:tc>
          <w:tcPr>
            <w:tcW w:w="1413" w:type="dxa"/>
            <w:tcBorders>
              <w:top w:val="nil"/>
              <w:left w:val="nil"/>
              <w:bottom w:val="nil"/>
              <w:right w:val="nil"/>
            </w:tcBorders>
            <w:shd w:val="clear" w:color="000000" w:fill="FFFFFF"/>
            <w:noWrap/>
            <w:vAlign w:val="bottom"/>
            <w:hideMark/>
          </w:tcPr>
          <w:p w:rsidR="00B13F1D" w:rsidRPr="00FE24C0" w:rsidRDefault="00B13F1D" w:rsidP="00B13F1D">
            <w:pPr>
              <w:spacing w:after="0"/>
              <w:jc w:val="left"/>
              <w:rPr>
                <w:rFonts w:eastAsia="Times New Roman"/>
                <w:color w:val="000000"/>
                <w:sz w:val="20"/>
                <w:szCs w:val="22"/>
                <w:lang w:eastAsia="en-GB"/>
              </w:rPr>
            </w:pPr>
            <w:r w:rsidRPr="00FE24C0">
              <w:rPr>
                <w:rFonts w:eastAsia="Times New Roman"/>
                <w:color w:val="000000"/>
                <w:sz w:val="20"/>
                <w:szCs w:val="22"/>
                <w:lang w:eastAsia="en-GB"/>
              </w:rPr>
              <w:t> </w:t>
            </w:r>
          </w:p>
        </w:tc>
        <w:tc>
          <w:tcPr>
            <w:tcW w:w="847"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c>
          <w:tcPr>
            <w:tcW w:w="1049"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c>
          <w:tcPr>
            <w:tcW w:w="126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 </w:t>
            </w:r>
          </w:p>
        </w:tc>
      </w:tr>
      <w:tr w:rsidR="00481138" w:rsidRPr="00FE24C0" w:rsidTr="00E87DDD">
        <w:trPr>
          <w:trHeight w:val="630"/>
        </w:trPr>
        <w:tc>
          <w:tcPr>
            <w:tcW w:w="1413" w:type="dxa"/>
            <w:tcBorders>
              <w:top w:val="single" w:sz="8" w:space="0" w:color="auto"/>
              <w:left w:val="single" w:sz="8" w:space="0" w:color="auto"/>
              <w:bottom w:val="single" w:sz="8" w:space="0" w:color="auto"/>
              <w:right w:val="nil"/>
            </w:tcBorders>
            <w:shd w:val="clear" w:color="000000" w:fill="FFFFFF"/>
            <w:noWrap/>
            <w:vAlign w:val="center"/>
            <w:hideMark/>
          </w:tcPr>
          <w:p w:rsidR="00B13F1D" w:rsidRPr="00FE24C0" w:rsidRDefault="00937F0B"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Rain gauge</w:t>
            </w:r>
          </w:p>
        </w:tc>
        <w:tc>
          <w:tcPr>
            <w:tcW w:w="847" w:type="dxa"/>
            <w:tcBorders>
              <w:top w:val="single" w:sz="8" w:space="0" w:color="auto"/>
              <w:left w:val="single" w:sz="8" w:space="0" w:color="auto"/>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Severe Excess</w:t>
            </w:r>
          </w:p>
        </w:tc>
        <w:tc>
          <w:tcPr>
            <w:tcW w:w="1049" w:type="dxa"/>
            <w:tcBorders>
              <w:top w:val="single" w:sz="8" w:space="0" w:color="auto"/>
              <w:left w:val="nil"/>
              <w:bottom w:val="single" w:sz="8" w:space="0" w:color="auto"/>
              <w:right w:val="single" w:sz="8" w:space="0" w:color="auto"/>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Moderate Excess</w:t>
            </w:r>
          </w:p>
        </w:tc>
        <w:tc>
          <w:tcPr>
            <w:tcW w:w="1021" w:type="dxa"/>
            <w:tcBorders>
              <w:top w:val="single" w:sz="8" w:space="0" w:color="auto"/>
              <w:left w:val="nil"/>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Weak Excess</w:t>
            </w:r>
          </w:p>
        </w:tc>
        <w:tc>
          <w:tcPr>
            <w:tcW w:w="990" w:type="dxa"/>
            <w:tcBorders>
              <w:top w:val="single" w:sz="8" w:space="0" w:color="auto"/>
              <w:left w:val="nil"/>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Normal</w:t>
            </w:r>
          </w:p>
        </w:tc>
        <w:tc>
          <w:tcPr>
            <w:tcW w:w="1170" w:type="dxa"/>
            <w:tcBorders>
              <w:top w:val="single" w:sz="8" w:space="0" w:color="auto"/>
              <w:left w:val="nil"/>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Weak Drought</w:t>
            </w:r>
          </w:p>
        </w:tc>
        <w:tc>
          <w:tcPr>
            <w:tcW w:w="1260" w:type="dxa"/>
            <w:tcBorders>
              <w:top w:val="single" w:sz="8" w:space="0" w:color="auto"/>
              <w:left w:val="single" w:sz="8" w:space="0" w:color="auto"/>
              <w:bottom w:val="single" w:sz="8" w:space="0" w:color="auto"/>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Moderate Drought</w:t>
            </w:r>
          </w:p>
        </w:tc>
        <w:tc>
          <w:tcPr>
            <w:tcW w:w="990" w:type="dxa"/>
            <w:tcBorders>
              <w:top w:val="single" w:sz="8" w:space="0" w:color="auto"/>
              <w:left w:val="nil"/>
              <w:bottom w:val="single" w:sz="8" w:space="0" w:color="auto"/>
              <w:right w:val="single" w:sz="8" w:space="0" w:color="auto"/>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Severe Drought</w:t>
            </w:r>
          </w:p>
        </w:tc>
      </w:tr>
      <w:tr w:rsidR="00481138" w:rsidRPr="00FE24C0" w:rsidTr="00E87DDD">
        <w:trPr>
          <w:trHeight w:val="585"/>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Bahía Blanca</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7.50%</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10.00%</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52.50%</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17.50%</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7.50%</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0.00%</w:t>
            </w:r>
          </w:p>
        </w:tc>
      </w:tr>
      <w:tr w:rsidR="00481138" w:rsidRPr="00FE24C0" w:rsidTr="00E87DDD">
        <w:trPr>
          <w:trHeight w:val="30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Bordenave</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7.50%</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12.50%</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10.00%</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37.50%</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20.00%</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10.00%</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2.50%</w:t>
            </w:r>
          </w:p>
        </w:tc>
      </w:tr>
      <w:tr w:rsidR="00481138" w:rsidRPr="00FE24C0" w:rsidTr="00E87DDD">
        <w:trPr>
          <w:trHeight w:val="30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Cnel Pringles</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0.00%</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15.00%</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10.00%</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47.50%</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22.50%</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0.00%</w:t>
            </w:r>
          </w:p>
        </w:tc>
      </w:tr>
      <w:tr w:rsidR="00481138" w:rsidRPr="00FE24C0" w:rsidTr="00E87DDD">
        <w:trPr>
          <w:trHeight w:val="57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Cnel Suárez</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2.50%</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17.50%</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47.50%</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17.50%</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7.50%</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2.50%</w:t>
            </w:r>
          </w:p>
        </w:tc>
      </w:tr>
      <w:tr w:rsidR="00481138" w:rsidRPr="00FE24C0" w:rsidTr="00E87DDD">
        <w:trPr>
          <w:trHeight w:val="300"/>
        </w:trPr>
        <w:tc>
          <w:tcPr>
            <w:tcW w:w="1413" w:type="dxa"/>
            <w:tcBorders>
              <w:top w:val="nil"/>
              <w:left w:val="single" w:sz="8" w:space="0" w:color="auto"/>
              <w:bottom w:val="nil"/>
              <w:right w:val="nil"/>
            </w:tcBorders>
            <w:shd w:val="clear" w:color="000000" w:fill="FFFFFF"/>
            <w:noWrap/>
            <w:vAlign w:val="center"/>
            <w:hideMark/>
          </w:tcPr>
          <w:p w:rsidR="00B13F1D" w:rsidRPr="00FE24C0" w:rsidRDefault="00B13F1D" w:rsidP="00B13F1D">
            <w:pPr>
              <w:spacing w:after="0"/>
              <w:rPr>
                <w:rFonts w:eastAsia="Times New Roman"/>
                <w:b/>
                <w:bCs/>
                <w:color w:val="000000"/>
                <w:sz w:val="20"/>
                <w:szCs w:val="22"/>
                <w:lang w:eastAsia="en-GB"/>
              </w:rPr>
            </w:pPr>
            <w:r w:rsidRPr="00FE24C0">
              <w:rPr>
                <w:rFonts w:eastAsia="Times New Roman"/>
                <w:b/>
                <w:bCs/>
                <w:color w:val="000000"/>
                <w:sz w:val="20"/>
                <w:szCs w:val="22"/>
                <w:lang w:eastAsia="en-GB"/>
              </w:rPr>
              <w:t>Ascasubi</w:t>
            </w:r>
          </w:p>
        </w:tc>
        <w:tc>
          <w:tcPr>
            <w:tcW w:w="847"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c>
          <w:tcPr>
            <w:tcW w:w="1049"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7.50%</w:t>
            </w:r>
          </w:p>
        </w:tc>
        <w:tc>
          <w:tcPr>
            <w:tcW w:w="1021"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7.50%</w:t>
            </w:r>
          </w:p>
        </w:tc>
        <w:tc>
          <w:tcPr>
            <w:tcW w:w="99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55.00%</w:t>
            </w:r>
          </w:p>
        </w:tc>
        <w:tc>
          <w:tcPr>
            <w:tcW w:w="1170" w:type="dxa"/>
            <w:tcBorders>
              <w:top w:val="nil"/>
              <w:left w:val="nil"/>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15.00%</w:t>
            </w:r>
          </w:p>
        </w:tc>
        <w:tc>
          <w:tcPr>
            <w:tcW w:w="1260" w:type="dxa"/>
            <w:tcBorders>
              <w:top w:val="nil"/>
              <w:left w:val="single" w:sz="8" w:space="0" w:color="auto"/>
              <w:bottom w:val="nil"/>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c>
          <w:tcPr>
            <w:tcW w:w="990" w:type="dxa"/>
            <w:tcBorders>
              <w:top w:val="nil"/>
              <w:left w:val="nil"/>
              <w:bottom w:val="nil"/>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r>
      <w:tr w:rsidR="00481138" w:rsidRPr="00FE24C0" w:rsidTr="00E87DDD">
        <w:trPr>
          <w:trHeight w:val="315"/>
        </w:trPr>
        <w:tc>
          <w:tcPr>
            <w:tcW w:w="1413" w:type="dxa"/>
            <w:tcBorders>
              <w:top w:val="nil"/>
              <w:left w:val="single" w:sz="8" w:space="0" w:color="auto"/>
              <w:bottom w:val="single" w:sz="8" w:space="0" w:color="auto"/>
              <w:right w:val="nil"/>
            </w:tcBorders>
            <w:shd w:val="clear" w:color="000000" w:fill="FFFFFF"/>
            <w:noWrap/>
            <w:vAlign w:val="center"/>
            <w:hideMark/>
          </w:tcPr>
          <w:p w:rsidR="00B13F1D" w:rsidRPr="00FE24C0" w:rsidRDefault="00B13F1D" w:rsidP="00B13F1D">
            <w:pPr>
              <w:spacing w:after="0"/>
              <w:jc w:val="left"/>
              <w:rPr>
                <w:rFonts w:eastAsia="Times New Roman"/>
                <w:b/>
                <w:bCs/>
                <w:color w:val="000000"/>
                <w:sz w:val="20"/>
                <w:szCs w:val="22"/>
                <w:lang w:eastAsia="en-GB"/>
              </w:rPr>
            </w:pPr>
            <w:r w:rsidRPr="00FE24C0">
              <w:rPr>
                <w:rFonts w:eastAsia="Times New Roman"/>
                <w:b/>
                <w:bCs/>
                <w:color w:val="000000"/>
                <w:sz w:val="20"/>
                <w:szCs w:val="22"/>
                <w:lang w:eastAsia="en-GB"/>
              </w:rPr>
              <w:t>Tres Arroyos</w:t>
            </w:r>
          </w:p>
        </w:tc>
        <w:tc>
          <w:tcPr>
            <w:tcW w:w="847" w:type="dxa"/>
            <w:tcBorders>
              <w:top w:val="nil"/>
              <w:left w:val="single" w:sz="8" w:space="0" w:color="auto"/>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2.50%</w:t>
            </w:r>
          </w:p>
        </w:tc>
        <w:tc>
          <w:tcPr>
            <w:tcW w:w="1049" w:type="dxa"/>
            <w:tcBorders>
              <w:top w:val="nil"/>
              <w:left w:val="nil"/>
              <w:bottom w:val="single" w:sz="8" w:space="0" w:color="auto"/>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2.50%</w:t>
            </w:r>
          </w:p>
        </w:tc>
        <w:tc>
          <w:tcPr>
            <w:tcW w:w="1021" w:type="dxa"/>
            <w:tcBorders>
              <w:top w:val="nil"/>
              <w:left w:val="nil"/>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15.00%</w:t>
            </w:r>
          </w:p>
        </w:tc>
        <w:tc>
          <w:tcPr>
            <w:tcW w:w="990" w:type="dxa"/>
            <w:tcBorders>
              <w:top w:val="nil"/>
              <w:left w:val="nil"/>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55.00%</w:t>
            </w:r>
          </w:p>
        </w:tc>
        <w:tc>
          <w:tcPr>
            <w:tcW w:w="1170" w:type="dxa"/>
            <w:tcBorders>
              <w:top w:val="nil"/>
              <w:left w:val="nil"/>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20.00%</w:t>
            </w:r>
          </w:p>
        </w:tc>
        <w:tc>
          <w:tcPr>
            <w:tcW w:w="1260" w:type="dxa"/>
            <w:tcBorders>
              <w:top w:val="nil"/>
              <w:left w:val="single" w:sz="8" w:space="0" w:color="auto"/>
              <w:bottom w:val="single" w:sz="8" w:space="0" w:color="auto"/>
              <w:right w:val="nil"/>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5.00%</w:t>
            </w:r>
          </w:p>
        </w:tc>
        <w:tc>
          <w:tcPr>
            <w:tcW w:w="990" w:type="dxa"/>
            <w:tcBorders>
              <w:top w:val="nil"/>
              <w:left w:val="nil"/>
              <w:bottom w:val="single" w:sz="8" w:space="0" w:color="auto"/>
              <w:right w:val="single" w:sz="8" w:space="0" w:color="auto"/>
            </w:tcBorders>
            <w:shd w:val="clear" w:color="000000" w:fill="FFFFFF"/>
            <w:noWrap/>
            <w:vAlign w:val="bottom"/>
            <w:hideMark/>
          </w:tcPr>
          <w:p w:rsidR="00B13F1D" w:rsidRPr="00FE24C0" w:rsidRDefault="00B13F1D" w:rsidP="00B13F1D">
            <w:pPr>
              <w:spacing w:after="0"/>
              <w:jc w:val="center"/>
              <w:rPr>
                <w:rFonts w:eastAsia="Times New Roman"/>
                <w:color w:val="000000"/>
                <w:sz w:val="20"/>
                <w:szCs w:val="22"/>
                <w:lang w:eastAsia="en-GB"/>
              </w:rPr>
            </w:pPr>
            <w:r w:rsidRPr="00FE24C0">
              <w:rPr>
                <w:rFonts w:eastAsia="Times New Roman"/>
                <w:color w:val="000000"/>
                <w:sz w:val="20"/>
                <w:szCs w:val="22"/>
                <w:lang w:eastAsia="en-GB"/>
              </w:rPr>
              <w:t>0.00%</w:t>
            </w:r>
          </w:p>
        </w:tc>
      </w:tr>
    </w:tbl>
    <w:p w:rsidR="006644D8" w:rsidRDefault="00134FF7" w:rsidP="006644D8">
      <w:pPr>
        <w:pStyle w:val="Source"/>
        <w:jc w:val="left"/>
      </w:pPr>
      <w:r w:rsidRPr="00FE24C0">
        <w:t>Source: Authors’ analysis of monthly rainfall data.</w:t>
      </w:r>
    </w:p>
    <w:p w:rsidR="003C082F" w:rsidRDefault="003C082F" w:rsidP="006644D8">
      <w:pPr>
        <w:pStyle w:val="WBReport"/>
      </w:pPr>
      <w:r w:rsidRPr="006644D8">
        <w:rPr>
          <w:b/>
          <w:i/>
        </w:rPr>
        <w:t>There is evidence that average rainfall in the southern regions of Buenos Aires Province has declined over the past decade</w:t>
      </w:r>
      <w:r w:rsidR="001A24FC" w:rsidRPr="006644D8">
        <w:rPr>
          <w:b/>
          <w:i/>
        </w:rPr>
        <w:t>.</w:t>
      </w:r>
      <w:r w:rsidR="001A24FC" w:rsidRPr="00FE24C0">
        <w:rPr>
          <w:i/>
        </w:rPr>
        <w:t xml:space="preserve"> </w:t>
      </w:r>
      <w:r w:rsidR="001A24FC" w:rsidRPr="006644D8">
        <w:t xml:space="preserve">Recorded annual average rainfall from 2000-2009 was lower than the previous decade at all 6 stations with a range from a low of -5.7% at Bahia Blanca to a high of – 20.6% at Bordenave (Table 2.2).  In a separate study, Glove (2006) reports that annual average rainfall at Bordenave weather </w:t>
      </w:r>
      <w:r w:rsidR="00A1644E" w:rsidRPr="006644D8">
        <w:t>station shows three distinct cycles over the past 130 years: an above</w:t>
      </w:r>
      <w:r w:rsidR="00026EDD" w:rsidRPr="006644D8">
        <w:t xml:space="preserve"> average rainfall p</w:t>
      </w:r>
      <w:r w:rsidR="00A1644E" w:rsidRPr="006644D8">
        <w:t>eriod between the late 18</w:t>
      </w:r>
      <w:r w:rsidR="00026EDD" w:rsidRPr="006644D8">
        <w:t>7</w:t>
      </w:r>
      <w:r w:rsidR="00A1644E" w:rsidRPr="006644D8">
        <w:t xml:space="preserve">0s and 1920s, then a dry period up to the early 1970s followed by a further above average rainfall period which culminated in </w:t>
      </w:r>
      <w:r w:rsidR="00A1644E" w:rsidRPr="006644D8">
        <w:lastRenderedPageBreak/>
        <w:t>2006, since when it has been abnormally dry.</w:t>
      </w:r>
      <w:r w:rsidR="00CD6F73" w:rsidRPr="006644D8">
        <w:t xml:space="preserve"> </w:t>
      </w:r>
      <w:r w:rsidR="007E29C5">
        <w:t xml:space="preserve"> A</w:t>
      </w:r>
      <w:r w:rsidR="008F4220">
        <w:t>s noted in Chapter 1 any tende</w:t>
      </w:r>
      <w:r w:rsidR="007E29C5">
        <w:t xml:space="preserve">ncies in decreasing rainfall </w:t>
      </w:r>
      <w:r w:rsidR="008F4220">
        <w:t>over time</w:t>
      </w:r>
      <w:r w:rsidR="007E29C5">
        <w:t xml:space="preserve"> must be </w:t>
      </w:r>
      <w:r w:rsidR="00CC2F8C">
        <w:t>taken into consideration</w:t>
      </w:r>
      <w:r w:rsidR="007E29C5">
        <w:t xml:space="preserve"> </w:t>
      </w:r>
      <w:r w:rsidR="008F4220">
        <w:t>in the design of any rainfall-index or pasture NDVI index insurance program (see Chapter 5).</w:t>
      </w:r>
    </w:p>
    <w:p w:rsidR="000C6233" w:rsidRPr="006644D8" w:rsidRDefault="005C6F0B" w:rsidP="006644D8">
      <w:pPr>
        <w:pStyle w:val="WBReport"/>
      </w:pPr>
      <w:r w:rsidRPr="006644D8">
        <w:rPr>
          <w:b/>
          <w:i/>
        </w:rPr>
        <w:t xml:space="preserve">The extraordinary drought conditions </w:t>
      </w:r>
      <w:r w:rsidR="00E609DF" w:rsidRPr="006644D8">
        <w:rPr>
          <w:b/>
          <w:i/>
        </w:rPr>
        <w:t>in 2008 force</w:t>
      </w:r>
      <w:r w:rsidR="005A1C59" w:rsidRPr="006644D8">
        <w:rPr>
          <w:b/>
          <w:i/>
        </w:rPr>
        <w:t>d</w:t>
      </w:r>
      <w:r w:rsidR="00E609DF" w:rsidRPr="006644D8">
        <w:rPr>
          <w:b/>
          <w:i/>
        </w:rPr>
        <w:t xml:space="preserve"> the National authorities to implement the </w:t>
      </w:r>
      <w:r w:rsidR="004211F5" w:rsidRPr="006644D8">
        <w:rPr>
          <w:b/>
          <w:i/>
        </w:rPr>
        <w:t xml:space="preserve">agricultural </w:t>
      </w:r>
      <w:r w:rsidR="00E609DF" w:rsidRPr="006644D8">
        <w:rPr>
          <w:b/>
          <w:i/>
        </w:rPr>
        <w:t>emergency decree in several provinces</w:t>
      </w:r>
      <w:r w:rsidR="00F2364C" w:rsidRPr="006644D8">
        <w:rPr>
          <w:b/>
          <w:i/>
        </w:rPr>
        <w:t>.</w:t>
      </w:r>
      <w:r w:rsidR="005A1C59" w:rsidRPr="006644D8">
        <w:rPr>
          <w:i/>
        </w:rPr>
        <w:t xml:space="preserve"> </w:t>
      </w:r>
      <w:r w:rsidR="001A24FC" w:rsidRPr="006644D8">
        <w:t>The rainfall data analysis shows that the resilience capacity of livestock producers against drought conditions in 2008 was significantly diminished because moderate to severe below normal rainfall conditions negatively impacted 2007 spring pasture production. The agricultural sector was severely affected due to the drought conditions which were exacerbated during most of 2008</w:t>
      </w:r>
      <w:r w:rsidR="007C1E50" w:rsidRPr="007C1E50">
        <w:rPr>
          <w:sz w:val="18"/>
          <w:szCs w:val="18"/>
          <w:highlight w:val="yellow"/>
          <w:vertAlign w:val="superscript"/>
        </w:rPr>
        <w:footnoteReference w:id="20"/>
      </w:r>
      <w:r w:rsidR="001A24FC" w:rsidRPr="006644D8">
        <w:t xml:space="preserve"> and also extended through 2009.  Although the National authorities allocated about AR$230 million to drought funds in 2008 to provide a financial compensation aid to farmers and livestock producers from five Provinces, the Argentine Rural Confederation (CRA) indicated that such drought assistance measures were not only insufficient to assist farmers but also it did not arrive on time to the most needed areas.</w:t>
      </w:r>
    </w:p>
    <w:p w:rsidR="003C082F" w:rsidRPr="00FE24C0" w:rsidRDefault="00A1644E" w:rsidP="00D96CE8">
      <w:pPr>
        <w:pStyle w:val="HeadFiguresTablesBoxes"/>
      </w:pPr>
      <w:proofErr w:type="gramStart"/>
      <w:r w:rsidRPr="00FE24C0">
        <w:t>Table 2.2.</w:t>
      </w:r>
      <w:proofErr w:type="gramEnd"/>
      <w:r w:rsidRPr="00FE24C0">
        <w:t xml:space="preserve"> Analysis of Average Annual Rainfall by Decade from 1970 to 2009 (mm) </w:t>
      </w:r>
    </w:p>
    <w:tbl>
      <w:tblPr>
        <w:tblW w:w="8212" w:type="dxa"/>
        <w:tblInd w:w="108" w:type="dxa"/>
        <w:tblLook w:val="04A0"/>
      </w:tblPr>
      <w:tblGrid>
        <w:gridCol w:w="1216"/>
        <w:gridCol w:w="1216"/>
        <w:gridCol w:w="1156"/>
        <w:gridCol w:w="1136"/>
        <w:gridCol w:w="1076"/>
        <w:gridCol w:w="1196"/>
        <w:gridCol w:w="1216"/>
      </w:tblGrid>
      <w:tr w:rsidR="003C082F" w:rsidRPr="00FE24C0" w:rsidTr="003C082F">
        <w:trPr>
          <w:trHeight w:val="600"/>
        </w:trPr>
        <w:tc>
          <w:tcPr>
            <w:tcW w:w="121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Sub-period</w:t>
            </w:r>
          </w:p>
        </w:tc>
        <w:tc>
          <w:tcPr>
            <w:tcW w:w="121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Bahía Blanca</w:t>
            </w:r>
          </w:p>
        </w:tc>
        <w:tc>
          <w:tcPr>
            <w:tcW w:w="115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Bordenave</w:t>
            </w:r>
          </w:p>
        </w:tc>
        <w:tc>
          <w:tcPr>
            <w:tcW w:w="113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Cnel Pringles</w:t>
            </w:r>
          </w:p>
        </w:tc>
        <w:tc>
          <w:tcPr>
            <w:tcW w:w="107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Cnel Suárez</w:t>
            </w:r>
          </w:p>
        </w:tc>
        <w:tc>
          <w:tcPr>
            <w:tcW w:w="119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Ascasubi</w:t>
            </w:r>
          </w:p>
        </w:tc>
        <w:tc>
          <w:tcPr>
            <w:tcW w:w="1216" w:type="dxa"/>
            <w:tcBorders>
              <w:top w:val="single" w:sz="4" w:space="0" w:color="auto"/>
              <w:left w:val="nil"/>
              <w:bottom w:val="single" w:sz="4" w:space="0" w:color="auto"/>
              <w:right w:val="nil"/>
            </w:tcBorders>
            <w:shd w:val="clear" w:color="000000" w:fill="FFFFFF"/>
            <w:noWrap/>
            <w:vAlign w:val="center"/>
            <w:hideMark/>
          </w:tcPr>
          <w:p w:rsidR="003C082F" w:rsidRPr="00FE24C0" w:rsidRDefault="00D97186" w:rsidP="00D96CBA">
            <w:pPr>
              <w:rPr>
                <w:b/>
                <w:sz w:val="20"/>
                <w:szCs w:val="20"/>
                <w:lang w:eastAsia="en-GB"/>
              </w:rPr>
            </w:pPr>
            <w:r w:rsidRPr="00FE24C0">
              <w:rPr>
                <w:b/>
                <w:sz w:val="20"/>
                <w:szCs w:val="20"/>
                <w:lang w:eastAsia="en-GB"/>
              </w:rPr>
              <w:t>Tres Arroyos</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96" w:type="dxa"/>
            <w:tcBorders>
              <w:top w:val="nil"/>
              <w:left w:val="nil"/>
              <w:bottom w:val="nil"/>
              <w:right w:val="nil"/>
            </w:tcBorders>
            <w:shd w:val="clear" w:color="000000" w:fill="FFFFFF"/>
            <w:noWrap/>
            <w:vAlign w:val="bottom"/>
            <w:hideMark/>
          </w:tcPr>
          <w:p w:rsidR="003C082F" w:rsidRPr="00FE24C0" w:rsidRDefault="006221BA" w:rsidP="003C082F">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1970-1979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699.0</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695.8</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770.0</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821.6</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473.2</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752.7</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1980-1989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643.6</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749.5</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822.5</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864.3</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531.7</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851.5</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1990-1999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681.9</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820.6</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830.5</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817.9</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510.7</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851.2</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2000-2009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643.0</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651.9</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723.1</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724.9</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432.1</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799.3</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Avg (70-09)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666.9</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729.5</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786.5</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807.2</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486.9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813.7</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 </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1980-1989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-7.92%</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7.72%</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6.82%</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5.20%</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12.37%</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13.11%</w:t>
            </w:r>
          </w:p>
        </w:tc>
      </w:tr>
      <w:tr w:rsidR="003C082F" w:rsidRPr="00FE24C0" w:rsidTr="003C082F">
        <w:trPr>
          <w:trHeight w:val="300"/>
        </w:trPr>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1990-1999</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5.96%</w:t>
            </w:r>
          </w:p>
        </w:tc>
        <w:tc>
          <w:tcPr>
            <w:tcW w:w="115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9.48%</w:t>
            </w:r>
          </w:p>
        </w:tc>
        <w:tc>
          <w:tcPr>
            <w:tcW w:w="113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0.97%</w:t>
            </w:r>
          </w:p>
        </w:tc>
        <w:tc>
          <w:tcPr>
            <w:tcW w:w="107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-5.37%</w:t>
            </w:r>
          </w:p>
        </w:tc>
        <w:tc>
          <w:tcPr>
            <w:tcW w:w="119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-3.94%</w:t>
            </w:r>
          </w:p>
        </w:tc>
        <w:tc>
          <w:tcPr>
            <w:tcW w:w="1216" w:type="dxa"/>
            <w:tcBorders>
              <w:top w:val="nil"/>
              <w:left w:val="nil"/>
              <w:bottom w:val="nil"/>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-0.04%</w:t>
            </w:r>
          </w:p>
        </w:tc>
      </w:tr>
      <w:tr w:rsidR="003C082F" w:rsidRPr="00FE24C0" w:rsidTr="003C082F">
        <w:trPr>
          <w:trHeight w:val="300"/>
        </w:trPr>
        <w:tc>
          <w:tcPr>
            <w:tcW w:w="121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2000-2009</w:t>
            </w:r>
          </w:p>
        </w:tc>
        <w:tc>
          <w:tcPr>
            <w:tcW w:w="121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-5.71%</w:t>
            </w:r>
          </w:p>
        </w:tc>
        <w:tc>
          <w:tcPr>
            <w:tcW w:w="115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-20.56%</w:t>
            </w:r>
          </w:p>
        </w:tc>
        <w:tc>
          <w:tcPr>
            <w:tcW w:w="113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-12.94%</w:t>
            </w:r>
          </w:p>
        </w:tc>
        <w:tc>
          <w:tcPr>
            <w:tcW w:w="107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-11.36%</w:t>
            </w:r>
          </w:p>
        </w:tc>
        <w:tc>
          <w:tcPr>
            <w:tcW w:w="119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-15.40%</w:t>
            </w:r>
          </w:p>
        </w:tc>
        <w:tc>
          <w:tcPr>
            <w:tcW w:w="1216" w:type="dxa"/>
            <w:tcBorders>
              <w:top w:val="nil"/>
              <w:left w:val="nil"/>
              <w:bottom w:val="single" w:sz="4" w:space="0" w:color="auto"/>
              <w:right w:val="nil"/>
            </w:tcBorders>
            <w:shd w:val="clear" w:color="000000" w:fill="FFFFFF"/>
            <w:noWrap/>
            <w:vAlign w:val="bottom"/>
            <w:hideMark/>
          </w:tcPr>
          <w:p w:rsidR="003C082F" w:rsidRPr="00FE24C0" w:rsidRDefault="00D97186" w:rsidP="00D96CBA">
            <w:pPr>
              <w:rPr>
                <w:sz w:val="20"/>
                <w:szCs w:val="20"/>
                <w:lang w:eastAsia="en-GB"/>
              </w:rPr>
            </w:pPr>
            <w:r w:rsidRPr="00FE24C0">
              <w:rPr>
                <w:sz w:val="20"/>
                <w:szCs w:val="20"/>
                <w:lang w:eastAsia="en-GB"/>
              </w:rPr>
              <w:t>-6.09%</w:t>
            </w:r>
          </w:p>
        </w:tc>
      </w:tr>
    </w:tbl>
    <w:p w:rsidR="004012B0" w:rsidRPr="006644D8" w:rsidRDefault="00A1644E" w:rsidP="006644D8">
      <w:pPr>
        <w:pStyle w:val="Source"/>
      </w:pPr>
      <w:r w:rsidRPr="00FE24C0">
        <w:t xml:space="preserve">Source: </w:t>
      </w:r>
      <w:r w:rsidR="00937F0B" w:rsidRPr="00FE24C0">
        <w:t>Authors’</w:t>
      </w:r>
      <w:r w:rsidRPr="00FE24C0">
        <w:t xml:space="preserve"> analysis of rainfall data</w:t>
      </w:r>
      <w:r w:rsidR="002E1B87" w:rsidRPr="00FE24C0">
        <w:t>.</w:t>
      </w:r>
    </w:p>
    <w:p w:rsidR="00E2141D" w:rsidRDefault="006644D8">
      <w:pPr>
        <w:pStyle w:val="WBReport"/>
        <w:numPr>
          <w:ilvl w:val="0"/>
          <w:numId w:val="0"/>
        </w:numPr>
        <w:rPr>
          <w:i/>
        </w:rPr>
      </w:pPr>
      <w:r w:rsidRPr="00FE24C0">
        <w:t>.</w:t>
      </w:r>
      <w:r w:rsidRPr="00FE24C0">
        <w:rPr>
          <w:i/>
        </w:rPr>
        <w:t xml:space="preserve"> </w:t>
      </w:r>
    </w:p>
    <w:p w:rsidR="006644D8" w:rsidRPr="00FE24C0" w:rsidRDefault="006644D8" w:rsidP="000943E6">
      <w:pPr>
        <w:pStyle w:val="APDroughtPara"/>
        <w:numPr>
          <w:ilvl w:val="0"/>
          <w:numId w:val="0"/>
        </w:numPr>
        <w:outlineLvl w:val="9"/>
        <w:rPr>
          <w:szCs w:val="22"/>
        </w:rPr>
        <w:sectPr w:rsidR="006644D8" w:rsidRPr="00FE24C0" w:rsidSect="005A066D">
          <w:pgSz w:w="12240" w:h="15840"/>
          <w:pgMar w:top="1440" w:right="1797" w:bottom="1440" w:left="1797" w:header="709" w:footer="709" w:gutter="0"/>
          <w:pgNumType w:start="1"/>
          <w:cols w:space="708"/>
          <w:docGrid w:linePitch="360"/>
        </w:sectPr>
      </w:pPr>
    </w:p>
    <w:p w:rsidR="000943E6" w:rsidRPr="00FE24C0" w:rsidRDefault="000943E6" w:rsidP="00D96CE8">
      <w:pPr>
        <w:pStyle w:val="HeadFiguresTablesBoxes"/>
      </w:pPr>
      <w:proofErr w:type="gramStart"/>
      <w:r w:rsidRPr="00FE24C0">
        <w:lastRenderedPageBreak/>
        <w:t>Figu</w:t>
      </w:r>
      <w:r w:rsidR="001F14CA" w:rsidRPr="00FE24C0">
        <w:t>re 2.6</w:t>
      </w:r>
      <w:r w:rsidRPr="00FE24C0">
        <w:t>.</w:t>
      </w:r>
      <w:proofErr w:type="gramEnd"/>
      <w:r w:rsidRPr="00FE24C0">
        <w:t xml:space="preserve">  Annual Rainfall from 1970 to 2009, Selected Weather Stations in SWBA (mm)</w:t>
      </w:r>
    </w:p>
    <w:p w:rsidR="000943E6" w:rsidRPr="00FE24C0" w:rsidRDefault="00130500" w:rsidP="000943E6">
      <w:pPr>
        <w:pStyle w:val="APDroughtPara"/>
        <w:numPr>
          <w:ilvl w:val="0"/>
          <w:numId w:val="0"/>
        </w:numPr>
        <w:outlineLvl w:val="9"/>
        <w:rPr>
          <w:szCs w:val="22"/>
        </w:rPr>
      </w:pPr>
      <w:r w:rsidRPr="00FE24C0">
        <w:rPr>
          <w:noProof/>
          <w:szCs w:val="22"/>
          <w:lang w:val="es-AR" w:eastAsia="es-AR"/>
        </w:rPr>
        <w:drawing>
          <wp:inline distT="0" distB="0" distL="0" distR="0">
            <wp:extent cx="8218805" cy="225425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8218805" cy="2254250"/>
                    </a:xfrm>
                    <a:prstGeom prst="rect">
                      <a:avLst/>
                    </a:prstGeom>
                    <a:noFill/>
                    <a:ln w="9525">
                      <a:noFill/>
                      <a:miter lim="800000"/>
                      <a:headEnd/>
                      <a:tailEnd/>
                    </a:ln>
                  </pic:spPr>
                </pic:pic>
              </a:graphicData>
            </a:graphic>
          </wp:inline>
        </w:drawing>
      </w:r>
    </w:p>
    <w:p w:rsidR="000943E6" w:rsidRPr="00FE24C0" w:rsidRDefault="001F14CA" w:rsidP="00A868E9">
      <w:pPr>
        <w:pStyle w:val="APDroughtPara"/>
        <w:numPr>
          <w:ilvl w:val="0"/>
          <w:numId w:val="0"/>
        </w:numPr>
        <w:spacing w:after="60"/>
        <w:outlineLvl w:val="9"/>
        <w:rPr>
          <w:rFonts w:eastAsia="MS Mincho"/>
          <w:b/>
          <w:szCs w:val="22"/>
          <w:lang w:eastAsia="ja-JP"/>
        </w:rPr>
      </w:pPr>
      <w:proofErr w:type="gramStart"/>
      <w:r w:rsidRPr="00FE24C0">
        <w:rPr>
          <w:b/>
          <w:szCs w:val="22"/>
        </w:rPr>
        <w:t xml:space="preserve">Figure </w:t>
      </w:r>
      <w:r w:rsidRPr="00FE24C0">
        <w:rPr>
          <w:rFonts w:eastAsia="MS Mincho"/>
          <w:b/>
          <w:szCs w:val="22"/>
          <w:lang w:eastAsia="ja-JP"/>
        </w:rPr>
        <w:t>2.7</w:t>
      </w:r>
      <w:r w:rsidR="000943E6" w:rsidRPr="00FE24C0">
        <w:rPr>
          <w:rFonts w:eastAsia="MS Mincho"/>
          <w:b/>
          <w:szCs w:val="22"/>
          <w:lang w:eastAsia="ja-JP"/>
        </w:rPr>
        <w:t>.</w:t>
      </w:r>
      <w:proofErr w:type="gramEnd"/>
      <w:r w:rsidR="000943E6" w:rsidRPr="00FE24C0">
        <w:rPr>
          <w:rFonts w:eastAsia="MS Mincho"/>
          <w:b/>
          <w:szCs w:val="22"/>
          <w:lang w:eastAsia="ja-JP"/>
        </w:rPr>
        <w:t xml:space="preserve">  Rainfall </w:t>
      </w:r>
      <w:r w:rsidR="00134FF7" w:rsidRPr="00FE24C0">
        <w:rPr>
          <w:rFonts w:eastAsia="MS Mincho"/>
          <w:b/>
          <w:szCs w:val="22"/>
          <w:lang w:eastAsia="ja-JP"/>
        </w:rPr>
        <w:t>Percentage</w:t>
      </w:r>
      <w:r w:rsidR="000943E6" w:rsidRPr="00FE24C0">
        <w:rPr>
          <w:rFonts w:eastAsia="MS Mincho"/>
          <w:b/>
          <w:szCs w:val="22"/>
          <w:lang w:eastAsia="ja-JP"/>
        </w:rPr>
        <w:t xml:space="preserve"> Deviation from Mean 1970 to 2009, Selected Weather Stations in SWBA (St. Deviations)</w:t>
      </w:r>
    </w:p>
    <w:p w:rsidR="00134FF7" w:rsidRPr="00FE24C0" w:rsidRDefault="00130500" w:rsidP="004C3AD4">
      <w:pPr>
        <w:pStyle w:val="APDroughtPara"/>
        <w:numPr>
          <w:ilvl w:val="0"/>
          <w:numId w:val="0"/>
        </w:numPr>
        <w:spacing w:after="120"/>
        <w:outlineLvl w:val="9"/>
        <w:rPr>
          <w:b/>
          <w:szCs w:val="22"/>
        </w:rPr>
      </w:pPr>
      <w:r w:rsidRPr="00FE24C0">
        <w:rPr>
          <w:noProof/>
          <w:szCs w:val="22"/>
          <w:lang w:val="es-AR" w:eastAsia="es-AR"/>
        </w:rPr>
        <w:drawing>
          <wp:inline distT="0" distB="0" distL="0" distR="0">
            <wp:extent cx="8218805" cy="224345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8218805" cy="2243455"/>
                    </a:xfrm>
                    <a:prstGeom prst="rect">
                      <a:avLst/>
                    </a:prstGeom>
                    <a:noFill/>
                    <a:ln w="9525">
                      <a:noFill/>
                      <a:miter lim="800000"/>
                      <a:headEnd/>
                      <a:tailEnd/>
                    </a:ln>
                  </pic:spPr>
                </pic:pic>
              </a:graphicData>
            </a:graphic>
          </wp:inline>
        </w:drawing>
      </w:r>
    </w:p>
    <w:p w:rsidR="000943E6" w:rsidRPr="00FE24C0" w:rsidRDefault="004C3AD4" w:rsidP="00D96CBA">
      <w:pPr>
        <w:pStyle w:val="Source"/>
        <w:rPr>
          <w:sz w:val="22"/>
          <w:szCs w:val="22"/>
        </w:rPr>
      </w:pPr>
      <w:r w:rsidRPr="00FE24C0">
        <w:t xml:space="preserve">Source: Authors’ analysis of annual rainfall data </w:t>
      </w:r>
    </w:p>
    <w:p w:rsidR="000943E6" w:rsidRPr="00FE24C0" w:rsidRDefault="000943E6" w:rsidP="000943E6">
      <w:pPr>
        <w:pStyle w:val="APDroughtPara"/>
        <w:numPr>
          <w:ilvl w:val="0"/>
          <w:numId w:val="0"/>
        </w:numPr>
        <w:outlineLvl w:val="9"/>
        <w:rPr>
          <w:szCs w:val="22"/>
        </w:rPr>
        <w:sectPr w:rsidR="000943E6" w:rsidRPr="00FE24C0" w:rsidSect="000943E6">
          <w:pgSz w:w="15840" w:h="12240" w:orient="landscape"/>
          <w:pgMar w:top="1797" w:right="1440" w:bottom="1797" w:left="1440" w:header="709" w:footer="709" w:gutter="0"/>
          <w:cols w:space="708"/>
          <w:docGrid w:linePitch="360"/>
        </w:sectPr>
      </w:pPr>
    </w:p>
    <w:p w:rsidR="008F4220" w:rsidRPr="00FE24C0" w:rsidRDefault="008F4220" w:rsidP="008F4220">
      <w:pPr>
        <w:pStyle w:val="Subttulo"/>
        <w:numPr>
          <w:ilvl w:val="0"/>
          <w:numId w:val="0"/>
        </w:numPr>
      </w:pPr>
      <w:bookmarkStart w:id="15" w:name="_Toc345794256"/>
      <w:r w:rsidRPr="00FE24C0">
        <w:lastRenderedPageBreak/>
        <w:t>Impact of Climate (Drought) on Cattle Production in SWBA</w:t>
      </w:r>
      <w:bookmarkEnd w:id="15"/>
    </w:p>
    <w:p w:rsidR="008F4220" w:rsidRPr="008F4220" w:rsidRDefault="008F4220" w:rsidP="006644D8">
      <w:pPr>
        <w:pStyle w:val="WBReport"/>
        <w:rPr>
          <w:i/>
        </w:rPr>
      </w:pPr>
      <w:r w:rsidRPr="006644D8">
        <w:rPr>
          <w:b/>
          <w:i/>
        </w:rPr>
        <w:t>There are no studies for SWBA to show the adverse impact of drought years on natural pasture production and yields.</w:t>
      </w:r>
      <w:r w:rsidRPr="00FE24C0">
        <w:rPr>
          <w:i/>
        </w:rPr>
        <w:t xml:space="preserve"> </w:t>
      </w:r>
      <w:r w:rsidRPr="00FE24C0">
        <w:t>There is much anecdotal evidence of the adverse impacts of droughts in SWBA on pasture production in terms of reduced fodder and grazing availability and lack of drinking water for cattle</w:t>
      </w:r>
      <w:r w:rsidRPr="00FE24C0">
        <w:rPr>
          <w:vertAlign w:val="superscript"/>
        </w:rPr>
        <w:footnoteReference w:id="21"/>
      </w:r>
      <w:r w:rsidRPr="00FE24C0">
        <w:t xml:space="preserve"> leading to the need for livestock owners to either (i) sell their animals to prevent them starving or to purchase feed supplements; (ii) and /or to wait for government to provide emergency relief. However, there are no time-series studies which have quantified the impact of drought it terms of reduced pasture biomass production and yields per hectare on a month by month basis during the key drought years such as 2005, and 2007 to 2009. It is therefore necessary to look at livestock numbers data in order to assess the impact of severe droughts in SWBA</w:t>
      </w:r>
    </w:p>
    <w:p w:rsidR="00EB2799" w:rsidRPr="006644D8" w:rsidRDefault="00063C37" w:rsidP="006644D8">
      <w:pPr>
        <w:pStyle w:val="WBReport"/>
        <w:rPr>
          <w:i/>
        </w:rPr>
      </w:pPr>
      <w:r w:rsidRPr="006644D8">
        <w:rPr>
          <w:b/>
          <w:i/>
        </w:rPr>
        <w:t>There has been a major decline in the beef cattle herd in SWBA over the past decade on account of the severe droughts</w:t>
      </w:r>
      <w:r w:rsidR="001A24FC" w:rsidRPr="006644D8">
        <w:rPr>
          <w:b/>
          <w:i/>
        </w:rPr>
        <w:t>.</w:t>
      </w:r>
      <w:r w:rsidR="001A24FC" w:rsidRPr="006644D8">
        <w:t xml:space="preserve"> In 2002 there were a total of 3.6 million registered cattle in South West Buenos Aires Province, but by 2010 the estimated number had fallen by 41% to only 2.2 million head of cattle. The decline in the cattle numbers has been very sharp between 2008 and 2010 with a reduction of 1 million head of cattle over this three year period (see Table 2.3 and Table 2.4 and Figure 2.8). This period coincides with the very severe droughts of 2008</w:t>
      </w:r>
      <w:r w:rsidR="008F4220">
        <w:t xml:space="preserve"> </w:t>
      </w:r>
      <w:r w:rsidR="00CC2F8C">
        <w:t>and</w:t>
      </w:r>
      <w:r w:rsidR="008F4220">
        <w:t xml:space="preserve"> 2009</w:t>
      </w:r>
      <w:r w:rsidR="001A24FC" w:rsidRPr="006644D8">
        <w:t>.</w:t>
      </w:r>
    </w:p>
    <w:p w:rsidR="000C6233" w:rsidRPr="006644D8" w:rsidRDefault="00EB2799" w:rsidP="006644D8">
      <w:pPr>
        <w:pStyle w:val="WBReport"/>
        <w:rPr>
          <w:i/>
        </w:rPr>
      </w:pPr>
      <w:r w:rsidRPr="006644D8">
        <w:rPr>
          <w:b/>
          <w:i/>
        </w:rPr>
        <w:t>The stability of the beef cattle herd in SWBA is highly dependent on maintaining numbers of reproductive cows and replacement heifers</w:t>
      </w:r>
      <w:r w:rsidR="001A24FC" w:rsidRPr="006644D8">
        <w:rPr>
          <w:b/>
          <w:i/>
        </w:rPr>
        <w:t>.</w:t>
      </w:r>
      <w:r w:rsidR="001A24FC" w:rsidRPr="006644D8">
        <w:t xml:space="preserve"> </w:t>
      </w:r>
      <w:r w:rsidRPr="006644D8">
        <w:t xml:space="preserve">The analysis shows that the numbers of cows has fallen by more than a third from 1.32 million head in 2002 to only 0.86 million head </w:t>
      </w:r>
      <w:r w:rsidR="00745ECA" w:rsidRPr="006644D8">
        <w:t>in 2010 and the reduction in the numbers of heife</w:t>
      </w:r>
      <w:r w:rsidR="00152FD9" w:rsidRPr="006644D8">
        <w:t>rs is even mo</w:t>
      </w:r>
      <w:r w:rsidR="00745ECA" w:rsidRPr="006644D8">
        <w:t>re severe with a 48% reduction over this period. Overall, the numbers of cows and heifers has fallen from nearly 1.9 million in 2002 to only 1.15 million in 2010</w:t>
      </w:r>
      <w:r w:rsidR="00193C3F" w:rsidRPr="006644D8">
        <w:t xml:space="preserve"> (Table 2.3)</w:t>
      </w:r>
      <w:r w:rsidR="00745ECA" w:rsidRPr="006644D8">
        <w:t>.</w:t>
      </w:r>
      <w:r w:rsidR="005A0F9B" w:rsidRPr="006644D8">
        <w:t xml:space="preserve"> </w:t>
      </w:r>
      <w:r w:rsidR="00305695" w:rsidRPr="006644D8">
        <w:t xml:space="preserve">A similar pattern in the reduction of cattle numbers is seen at a national level: in 2007 Argentina had a national herd of about 58.7 million </w:t>
      </w:r>
      <w:r w:rsidR="001A24FC" w:rsidRPr="006644D8">
        <w:t>cattle, and this was reduced to 54.5 million in 2009 and only 48.9 million in 2012, or a 17% reduction in the national cattle herd over the past 4 years</w:t>
      </w:r>
      <w:r w:rsidR="007C1E50" w:rsidRPr="007C1E50">
        <w:rPr>
          <w:vertAlign w:val="superscript"/>
        </w:rPr>
        <w:footnoteReference w:id="22"/>
      </w:r>
      <w:r w:rsidR="001A24FC" w:rsidRPr="006644D8">
        <w:t>. The costs to the livestock industry of the drought induced losses run into many hundreds of millions of Argentinean pesos.</w:t>
      </w:r>
    </w:p>
    <w:p w:rsidR="00E2141D" w:rsidRDefault="001F14CA">
      <w:pPr>
        <w:pStyle w:val="HeadFiguresTablesBoxes"/>
        <w:spacing w:before="120" w:after="0"/>
      </w:pPr>
      <w:proofErr w:type="gramStart"/>
      <w:r w:rsidRPr="006644D8">
        <w:t>Table 2.</w:t>
      </w:r>
      <w:r w:rsidR="00026EDD" w:rsidRPr="006644D8">
        <w:t>3</w:t>
      </w:r>
      <w:r w:rsidR="008E22D7" w:rsidRPr="006644D8">
        <w:t>.</w:t>
      </w:r>
      <w:proofErr w:type="gramEnd"/>
      <w:r w:rsidR="008E22D7" w:rsidRPr="006644D8">
        <w:t xml:space="preserve"> Type and Size of Cattle Herd in SWBA 2002 to 2012 (Number of animals)</w:t>
      </w:r>
    </w:p>
    <w:p w:rsidR="00E2141D" w:rsidRDefault="00734BE8">
      <w:pPr>
        <w:pStyle w:val="HeadFiguresTablesBoxes"/>
        <w:spacing w:after="0"/>
      </w:pPr>
      <w:r w:rsidRPr="00FE24C0">
        <w:rPr>
          <w:noProof/>
          <w:lang w:val="es-AR" w:eastAsia="es-AR"/>
        </w:rPr>
        <w:drawing>
          <wp:inline distT="0" distB="0" distL="0" distR="0">
            <wp:extent cx="5490210" cy="1445044"/>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cstate="print"/>
                    <a:srcRect/>
                    <a:stretch>
                      <a:fillRect/>
                    </a:stretch>
                  </pic:blipFill>
                  <pic:spPr bwMode="auto">
                    <a:xfrm>
                      <a:off x="0" y="0"/>
                      <a:ext cx="5490210" cy="1445044"/>
                    </a:xfrm>
                    <a:prstGeom prst="rect">
                      <a:avLst/>
                    </a:prstGeom>
                    <a:noFill/>
                    <a:ln w="9525">
                      <a:noFill/>
                      <a:miter lim="800000"/>
                      <a:headEnd/>
                      <a:tailEnd/>
                    </a:ln>
                  </pic:spPr>
                </pic:pic>
              </a:graphicData>
            </a:graphic>
          </wp:inline>
        </w:drawing>
      </w:r>
    </w:p>
    <w:p w:rsidR="005A0F9B" w:rsidRPr="006644D8" w:rsidRDefault="00BD63C0" w:rsidP="006644D8">
      <w:pPr>
        <w:pStyle w:val="Source"/>
      </w:pPr>
      <w:r w:rsidRPr="006644D8">
        <w:t>Source: SENASA</w:t>
      </w:r>
      <w:r w:rsidR="00F575C2" w:rsidRPr="006644D8">
        <w:t xml:space="preserve"> 2011</w:t>
      </w:r>
    </w:p>
    <w:p w:rsidR="008E22D7" w:rsidRPr="006644D8" w:rsidRDefault="005A0F9B" w:rsidP="006644D8">
      <w:pPr>
        <w:pStyle w:val="HeadFiguresTablesBoxes"/>
      </w:pPr>
      <w:proofErr w:type="gramStart"/>
      <w:r w:rsidRPr="006644D8">
        <w:lastRenderedPageBreak/>
        <w:t>Table 2.</w:t>
      </w:r>
      <w:r w:rsidR="00026EDD" w:rsidRPr="006644D8">
        <w:t>4</w:t>
      </w:r>
      <w:r w:rsidR="008E22D7" w:rsidRPr="006644D8">
        <w:t>.</w:t>
      </w:r>
      <w:proofErr w:type="gramEnd"/>
      <w:r w:rsidR="008E22D7" w:rsidRPr="006644D8">
        <w:t xml:space="preserve"> Change in Size of Cattle Herd since 2002 (as percent of 2002 No. of animals). </w:t>
      </w:r>
    </w:p>
    <w:tbl>
      <w:tblPr>
        <w:tblW w:w="7475" w:type="dxa"/>
        <w:tblInd w:w="103" w:type="dxa"/>
        <w:tblLook w:val="04A0"/>
      </w:tblPr>
      <w:tblGrid>
        <w:gridCol w:w="1085"/>
        <w:gridCol w:w="720"/>
        <w:gridCol w:w="720"/>
        <w:gridCol w:w="810"/>
        <w:gridCol w:w="900"/>
        <w:gridCol w:w="810"/>
        <w:gridCol w:w="810"/>
        <w:gridCol w:w="810"/>
        <w:gridCol w:w="810"/>
      </w:tblGrid>
      <w:tr w:rsidR="000C6233" w:rsidRPr="00FE24C0" w:rsidTr="000C6233">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8E22D7">
            <w:pPr>
              <w:spacing w:after="0"/>
              <w:jc w:val="left"/>
              <w:rPr>
                <w:rFonts w:eastAsia="Times New Roman"/>
                <w:b/>
                <w:bCs/>
                <w:color w:val="000000"/>
                <w:szCs w:val="22"/>
                <w:lang w:eastAsia="en-GB"/>
              </w:rPr>
            </w:pPr>
            <w:r w:rsidRPr="00FE24C0">
              <w:rPr>
                <w:rFonts w:eastAsia="Times New Roman"/>
                <w:b/>
                <w:bCs/>
                <w:color w:val="000000"/>
                <w:szCs w:val="22"/>
                <w:lang w:eastAsia="en-GB"/>
              </w:rPr>
              <w:t>Year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Cs w:val="22"/>
                <w:lang w:eastAsia="en-GB"/>
              </w:rPr>
            </w:pPr>
            <w:r w:rsidRPr="00FE24C0">
              <w:rPr>
                <w:rFonts w:eastAsia="Times New Roman"/>
                <w:b/>
                <w:bCs/>
                <w:color w:val="000000"/>
                <w:szCs w:val="22"/>
                <w:lang w:eastAsia="en-GB"/>
              </w:rPr>
              <w:t>2010</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4E50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Cows </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99%</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98%</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99%</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95%</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92%</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87%</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69%</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66%</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4E50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Heifers </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99%</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92%</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87%</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92%</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91%</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87%</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68%</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52%</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4E50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Calves </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93%</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86%</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98%</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89%</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87%</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83%</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65%</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63%</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4E50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Steers </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102%</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105%</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89%</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79%</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80%</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72%</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53%</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55%</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3D19EA" w:rsidP="003D19EA">
            <w:pPr>
              <w:spacing w:after="0"/>
              <w:jc w:val="left"/>
              <w:rPr>
                <w:rFonts w:eastAsia="Times New Roman"/>
                <w:color w:val="000000"/>
                <w:sz w:val="20"/>
                <w:szCs w:val="20"/>
                <w:lang w:eastAsia="en-GB"/>
              </w:rPr>
            </w:pPr>
            <w:r w:rsidRPr="00FE24C0">
              <w:rPr>
                <w:rFonts w:eastAsia="Times New Roman"/>
                <w:color w:val="000000"/>
                <w:sz w:val="20"/>
                <w:szCs w:val="20"/>
                <w:lang w:eastAsia="en-GB"/>
              </w:rPr>
              <w:t>Bulloks</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94%</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88%</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84%</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83%</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87%</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99%</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68%</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42%</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4E50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Bulls </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103%</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101%</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96%</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98%</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95%</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87%</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73%</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color w:val="000000"/>
                <w:sz w:val="18"/>
                <w:szCs w:val="18"/>
                <w:lang w:eastAsia="en-GB"/>
              </w:rPr>
            </w:pPr>
            <w:r w:rsidRPr="00FE24C0">
              <w:rPr>
                <w:rFonts w:eastAsia="Times New Roman"/>
                <w:color w:val="000000"/>
                <w:sz w:val="18"/>
                <w:szCs w:val="18"/>
                <w:lang w:eastAsia="en-GB"/>
              </w:rPr>
              <w:t>68%</w:t>
            </w:r>
          </w:p>
        </w:tc>
      </w:tr>
      <w:tr w:rsidR="000C6233" w:rsidRPr="00FE24C0" w:rsidTr="000C6233">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DB3062" w:rsidRPr="00FE24C0" w:rsidRDefault="00DB3062" w:rsidP="008E22D7">
            <w:pPr>
              <w:spacing w:after="0"/>
              <w:jc w:val="left"/>
              <w:rPr>
                <w:rFonts w:eastAsia="Times New Roman"/>
                <w:b/>
                <w:bCs/>
                <w:color w:val="000000"/>
                <w:szCs w:val="22"/>
                <w:lang w:eastAsia="en-GB"/>
              </w:rPr>
            </w:pPr>
            <w:r w:rsidRPr="00FE24C0">
              <w:rPr>
                <w:rFonts w:eastAsia="Times New Roman"/>
                <w:b/>
                <w:bCs/>
                <w:color w:val="000000"/>
                <w:szCs w:val="22"/>
                <w:lang w:eastAsia="en-GB"/>
              </w:rPr>
              <w:t>Total</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97%</w:t>
            </w:r>
          </w:p>
        </w:tc>
        <w:tc>
          <w:tcPr>
            <w:tcW w:w="72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94%</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94%</w:t>
            </w:r>
          </w:p>
        </w:tc>
        <w:tc>
          <w:tcPr>
            <w:tcW w:w="90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90%</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89%</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86%</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66%</w:t>
            </w:r>
          </w:p>
        </w:tc>
        <w:tc>
          <w:tcPr>
            <w:tcW w:w="810" w:type="dxa"/>
            <w:tcBorders>
              <w:top w:val="nil"/>
              <w:left w:val="nil"/>
              <w:bottom w:val="single" w:sz="4" w:space="0" w:color="auto"/>
              <w:right w:val="single" w:sz="4" w:space="0" w:color="auto"/>
            </w:tcBorders>
            <w:shd w:val="clear" w:color="auto" w:fill="auto"/>
            <w:noWrap/>
            <w:vAlign w:val="bottom"/>
            <w:hideMark/>
          </w:tcPr>
          <w:p w:rsidR="00DB3062" w:rsidRPr="00FE24C0" w:rsidRDefault="00DB3062" w:rsidP="008E22D7">
            <w:pPr>
              <w:spacing w:after="0"/>
              <w:jc w:val="right"/>
              <w:rPr>
                <w:rFonts w:eastAsia="Times New Roman"/>
                <w:b/>
                <w:bCs/>
                <w:color w:val="000000"/>
                <w:sz w:val="18"/>
                <w:szCs w:val="18"/>
                <w:lang w:eastAsia="en-GB"/>
              </w:rPr>
            </w:pPr>
            <w:r w:rsidRPr="00FE24C0">
              <w:rPr>
                <w:rFonts w:eastAsia="Times New Roman"/>
                <w:b/>
                <w:bCs/>
                <w:color w:val="000000"/>
                <w:sz w:val="18"/>
                <w:szCs w:val="18"/>
                <w:lang w:eastAsia="en-GB"/>
              </w:rPr>
              <w:t>59%</w:t>
            </w:r>
          </w:p>
        </w:tc>
      </w:tr>
    </w:tbl>
    <w:p w:rsidR="000C6233" w:rsidRPr="006644D8" w:rsidRDefault="00BD63C0" w:rsidP="006644D8">
      <w:pPr>
        <w:pStyle w:val="Source"/>
      </w:pPr>
      <w:r w:rsidRPr="006644D8">
        <w:t>Source: SENASA</w:t>
      </w:r>
      <w:r w:rsidR="00F575C2" w:rsidRPr="006644D8">
        <w:t xml:space="preserve"> 2011</w:t>
      </w:r>
    </w:p>
    <w:p w:rsidR="00477EBA" w:rsidRPr="00FE24C0" w:rsidRDefault="00477EBA" w:rsidP="006644D8">
      <w:pPr>
        <w:pStyle w:val="Subttulo"/>
        <w:numPr>
          <w:ilvl w:val="0"/>
          <w:numId w:val="0"/>
        </w:numPr>
      </w:pPr>
      <w:bookmarkStart w:id="16" w:name="_Toc345794257"/>
      <w:proofErr w:type="gramStart"/>
      <w:r w:rsidRPr="00FE24C0">
        <w:t>Identification of the Need for a Catastrophe Pasture Drought Risk Insurance Cover for Livestock Producers in SWBA.</w:t>
      </w:r>
      <w:bookmarkEnd w:id="16"/>
      <w:proofErr w:type="gramEnd"/>
    </w:p>
    <w:p w:rsidR="00477EBA" w:rsidRPr="006644D8" w:rsidRDefault="00477EBA" w:rsidP="006644D8">
      <w:pPr>
        <w:pStyle w:val="WBReport"/>
        <w:rPr>
          <w:i/>
        </w:rPr>
      </w:pPr>
      <w:r w:rsidRPr="006644D8">
        <w:rPr>
          <w:b/>
          <w:i/>
        </w:rPr>
        <w:t>The development over the past decade of commercial “loss of pasture” insurance solutions based on satellite measured NDVI indexes has led to a request by the livestock industry in Argentina for ORA-MAGyP and the local insurance industry to explore the feasibility of designing similar pasture-NDVI index insurance cover for their livestock producers</w:t>
      </w:r>
      <w:r w:rsidRPr="006644D8">
        <w:rPr>
          <w:b/>
        </w:rPr>
        <w:t>.</w:t>
      </w:r>
      <w:r w:rsidRPr="006644D8">
        <w:t xml:space="preserve"> In June 2008 ORA-MAGyP, and the Ministry of Agrarian Affairs (MAA) of the Province of Buenos Aires launched an initiative with various interested insurance companies</w:t>
      </w:r>
      <w:r w:rsidR="007C1E50" w:rsidRPr="007C1E50">
        <w:rPr>
          <w:vertAlign w:val="superscript"/>
        </w:rPr>
        <w:footnoteReference w:id="23"/>
      </w:r>
      <w:r w:rsidRPr="006644D8">
        <w:t xml:space="preserve"> to analyze the feasibility of developing an insurance cover to protect the livestock sector against catastrophe losses in their pasture as part of the Plan for the Development of the South West of Buenos Aires Province (SWBA). The working group including ORA-MAGyP, MAA, insurance companies and CONINAGRO (representing the livestock sector in SWBA) identified the potential to develop a parametric or index insurance cover to protect against climatic and natural perils resulting in the loss of pasture production for livestock owners located in SWBA.</w:t>
      </w:r>
    </w:p>
    <w:p w:rsidR="00CD791D" w:rsidRPr="006644D8" w:rsidRDefault="00F0345D" w:rsidP="006644D8">
      <w:pPr>
        <w:pStyle w:val="WBReport"/>
        <w:rPr>
          <w:i/>
        </w:rPr>
      </w:pPr>
      <w:r w:rsidRPr="00F0345D">
        <w:rPr>
          <w:b/>
          <w:i/>
        </w:rPr>
        <w:t>In 2010 ORA-MAGyP contracted the Remote Sensing and Regional Analysis Laboratory – Faculty of Agronomy, University of Buenos Aires (LART FAUBA) to conduct a pasture-land use mapping study for SWBA</w:t>
      </w:r>
      <w:r w:rsidR="00477EBA" w:rsidRPr="006644D8">
        <w:rPr>
          <w:i/>
        </w:rPr>
        <w:t xml:space="preserve"> </w:t>
      </w:r>
      <w:r w:rsidR="00477EBA" w:rsidRPr="006644D8">
        <w:t>and also to establish an NDVI database for this region in order to study the impact of droughts on pasture production and to study the potential to develop an NDVI index insurance program for SWBA.</w:t>
      </w:r>
    </w:p>
    <w:p w:rsidR="000C6233" w:rsidRDefault="0090450C" w:rsidP="006644D8">
      <w:pPr>
        <w:pStyle w:val="WBReport"/>
        <w:rPr>
          <w:b/>
          <w:i/>
        </w:rPr>
      </w:pPr>
      <w:r w:rsidRPr="006644D8">
        <w:rPr>
          <w:b/>
          <w:i/>
        </w:rPr>
        <w:t>In 2011</w:t>
      </w:r>
      <w:r w:rsidR="002B0FC0" w:rsidRPr="006644D8">
        <w:rPr>
          <w:b/>
          <w:i/>
        </w:rPr>
        <w:t xml:space="preserve"> </w:t>
      </w:r>
      <w:r w:rsidR="00110A04" w:rsidRPr="006644D8">
        <w:rPr>
          <w:b/>
          <w:i/>
        </w:rPr>
        <w:t>ORA-</w:t>
      </w:r>
      <w:r w:rsidR="00AD4EDA" w:rsidRPr="006644D8">
        <w:rPr>
          <w:b/>
          <w:i/>
        </w:rPr>
        <w:t>MAGyP</w:t>
      </w:r>
      <w:r w:rsidR="00110A04" w:rsidRPr="006644D8">
        <w:rPr>
          <w:b/>
          <w:i/>
        </w:rPr>
        <w:t xml:space="preserve"> made a formal request to the World Bank to provide technical assistance to design a suitable NDVI index insurance program for cattle producers located in S</w:t>
      </w:r>
      <w:r w:rsidR="00F33FD0" w:rsidRPr="006644D8">
        <w:rPr>
          <w:b/>
          <w:i/>
        </w:rPr>
        <w:t>W</w:t>
      </w:r>
      <w:r w:rsidR="00110A04" w:rsidRPr="006644D8">
        <w:rPr>
          <w:b/>
          <w:i/>
        </w:rPr>
        <w:t>BA.</w:t>
      </w:r>
      <w:r w:rsidR="001A24FC" w:rsidRPr="006644D8">
        <w:rPr>
          <w:b/>
          <w:i/>
        </w:rPr>
        <w:t xml:space="preserve"> The rest of this report presents the findings and recommendations of this NDVI pasture-index insurance feasibility study in SWBA.</w:t>
      </w:r>
    </w:p>
    <w:p w:rsidR="000C6233" w:rsidRPr="006644D8" w:rsidRDefault="00EC20AD" w:rsidP="006644D8">
      <w:pPr>
        <w:pStyle w:val="WBReport"/>
        <w:rPr>
          <w:b/>
          <w:i/>
        </w:rPr>
      </w:pPr>
      <w:r w:rsidRPr="00F76D49">
        <w:rPr>
          <w:b/>
          <w:i/>
        </w:rPr>
        <w:t xml:space="preserve">In addition to seeking to develop pasture insurance options for livestock producers, in 2012 the World Bank is funding a climate change adaptation project in SWBA which aims to introduce improved soil and water conservation measures and sustainable land management </w:t>
      </w:r>
      <w:r w:rsidRPr="00F76D49">
        <w:rPr>
          <w:b/>
          <w:i/>
        </w:rPr>
        <w:lastRenderedPageBreak/>
        <w:t>practices for the crop and livestock sectors</w:t>
      </w:r>
      <w:r w:rsidRPr="00F76D49">
        <w:rPr>
          <w:b/>
        </w:rPr>
        <w:t>.</w:t>
      </w:r>
      <w:r w:rsidRPr="00FE24C0">
        <w:t xml:space="preserve"> </w:t>
      </w:r>
      <w:r w:rsidR="001A24FC" w:rsidRPr="006644D8">
        <w:t xml:space="preserve">Under Component 2 of the project “Increasing Climate Resilience &amp; Enhancing Sustainable Land Management in the South West of the Buenos Aires Province”, there is provision for small-scale pilot interventions for the livestock sector including the capture and storage of rainwater, use of forage banks, forest grazing and sustainable management of pasture plots (World Bank 2012). The main synergy with the planned NDVI –pasture insurance program will be the possible introduction of maximum permitted stocking densities for livestock as part of the effort to maintain and manage natural pasture resources more effectively </w:t>
      </w:r>
      <w:r w:rsidR="007D5BAF">
        <w:t xml:space="preserve">and sustainably </w:t>
      </w:r>
      <w:r w:rsidR="001A24FC" w:rsidRPr="006644D8">
        <w:t>especially in times of severe drought (see Chapter 6 for further discussion).</w:t>
      </w:r>
    </w:p>
    <w:p w:rsidR="00584DC3" w:rsidRPr="00FE24C0" w:rsidRDefault="00584DC3" w:rsidP="00110A04">
      <w:pPr>
        <w:pStyle w:val="APDroughtPara"/>
        <w:numPr>
          <w:ilvl w:val="0"/>
          <w:numId w:val="0"/>
        </w:numPr>
        <w:outlineLvl w:val="9"/>
        <w:rPr>
          <w:szCs w:val="22"/>
        </w:rPr>
      </w:pPr>
    </w:p>
    <w:p w:rsidR="005A2272" w:rsidRPr="00FE24C0" w:rsidRDefault="005A2272" w:rsidP="004071BC">
      <w:pPr>
        <w:pStyle w:val="APDroughtPara"/>
        <w:numPr>
          <w:ilvl w:val="0"/>
          <w:numId w:val="0"/>
        </w:numPr>
      </w:pPr>
      <w:r w:rsidRPr="00FE24C0">
        <w:br w:type="page"/>
      </w:r>
    </w:p>
    <w:p w:rsidR="004A250F" w:rsidRPr="00FE24C0" w:rsidRDefault="004D7C8D" w:rsidP="00D830D0">
      <w:pPr>
        <w:pStyle w:val="Ttulo1"/>
        <w:rPr>
          <w:rFonts w:cs="Times New Roman"/>
        </w:rPr>
      </w:pPr>
      <w:bookmarkStart w:id="17" w:name="_Toc345794258"/>
      <w:r w:rsidRPr="00FE24C0">
        <w:rPr>
          <w:rFonts w:cs="Times New Roman"/>
        </w:rPr>
        <w:lastRenderedPageBreak/>
        <w:t>NDVI Concepts and International Experience</w:t>
      </w:r>
      <w:bookmarkEnd w:id="10"/>
      <w:r w:rsidR="00627820" w:rsidRPr="00FE24C0">
        <w:rPr>
          <w:rFonts w:cs="Times New Roman"/>
        </w:rPr>
        <w:t xml:space="preserve"> with NDVI Pasture Insurance</w:t>
      </w:r>
      <w:bookmarkEnd w:id="17"/>
    </w:p>
    <w:p w:rsidR="004012B0" w:rsidRPr="00F76D49" w:rsidRDefault="001A24FC" w:rsidP="004F339B">
      <w:pPr>
        <w:pStyle w:val="WBReport"/>
      </w:pPr>
      <w:r w:rsidRPr="00F76D49">
        <w:rPr>
          <w:b/>
          <w:i/>
        </w:rPr>
        <w:t>This Chapter presents a review of the Normalized Difference Vegetative Index (NDVI) and its applications to livestock pasture insurance.</w:t>
      </w:r>
      <w:r w:rsidR="00C252F6" w:rsidRPr="00FE24C0">
        <w:t xml:space="preserve"> </w:t>
      </w:r>
      <w:r w:rsidRPr="00F76D49">
        <w:t>Traditional indemnity-based crop insurance programs have been widely developed for more than a century for a wide range of annual cereal, oil seed and horticultural crops, but to date indemnity based insurance has not been able to provide practical solutions for insuring extensive natural pasture and grazing lands against production and yield losses due to climatic and natural perils. Conversely the last decade has seen the development of new innovative parametric or index-based solutions to insure against production losses in pasture, all of which use satellite imagery to measure the Normalized Difference Vegetative Index (NDVI) in pasture. This Chapter explains NDVI concepts followed by a review of the features of and international experience with commercial pasture-NDVI insurance programs and highlights key challenges for the application of this product in Argentina</w:t>
      </w:r>
      <w:r w:rsidR="004012B0" w:rsidRPr="00F76D49">
        <w:t>.</w:t>
      </w:r>
      <w:r w:rsidR="004F339B" w:rsidRPr="00F76D49">
        <w:t xml:space="preserve">  </w:t>
      </w:r>
    </w:p>
    <w:p w:rsidR="00C252F6" w:rsidRPr="00FE24C0" w:rsidRDefault="00C252F6" w:rsidP="00F76D49">
      <w:pPr>
        <w:pStyle w:val="Subttulo"/>
        <w:numPr>
          <w:ilvl w:val="0"/>
          <w:numId w:val="0"/>
        </w:numPr>
        <w:rPr>
          <w:lang w:eastAsia="es-NI"/>
        </w:rPr>
      </w:pPr>
      <w:bookmarkStart w:id="18" w:name="_Toc345794259"/>
      <w:r w:rsidRPr="00FE24C0">
        <w:rPr>
          <w:lang w:eastAsia="es-NI"/>
        </w:rPr>
        <w:t>Normalized D</w:t>
      </w:r>
      <w:r w:rsidR="00942D81" w:rsidRPr="00FE24C0">
        <w:rPr>
          <w:lang w:eastAsia="es-NI"/>
        </w:rPr>
        <w:t>ifference</w:t>
      </w:r>
      <w:r w:rsidRPr="00FE24C0">
        <w:rPr>
          <w:lang w:eastAsia="es-NI"/>
        </w:rPr>
        <w:t xml:space="preserve"> Vegetative Index: Concepts and </w:t>
      </w:r>
      <w:r w:rsidR="00B54D22" w:rsidRPr="00FE24C0">
        <w:rPr>
          <w:lang w:eastAsia="es-NI"/>
        </w:rPr>
        <w:t>Applications</w:t>
      </w:r>
      <w:bookmarkEnd w:id="18"/>
    </w:p>
    <w:p w:rsidR="000C6233" w:rsidRPr="00F76D49" w:rsidRDefault="004D7C8D" w:rsidP="00F76D49">
      <w:pPr>
        <w:pStyle w:val="WBReport"/>
      </w:pPr>
      <w:r w:rsidRPr="00F76D49">
        <w:rPr>
          <w:b/>
          <w:i/>
        </w:rPr>
        <w:t>The</w:t>
      </w:r>
      <w:r w:rsidRPr="00FE24C0">
        <w:rPr>
          <w:i/>
        </w:rPr>
        <w:t xml:space="preserve"> </w:t>
      </w:r>
      <w:r w:rsidRPr="00F76D49">
        <w:rPr>
          <w:b/>
          <w:i/>
        </w:rPr>
        <w:t>Normalized Difference Vegetative Index (NDVI), which is based on satellite</w:t>
      </w:r>
      <w:r w:rsidR="00942D81" w:rsidRPr="00F76D49">
        <w:rPr>
          <w:b/>
          <w:i/>
        </w:rPr>
        <w:t xml:space="preserve"> imagery</w:t>
      </w:r>
      <w:r w:rsidRPr="00F76D49">
        <w:rPr>
          <w:b/>
          <w:i/>
        </w:rPr>
        <w:t>, c</w:t>
      </w:r>
      <w:r w:rsidR="0011444A" w:rsidRPr="00F76D49">
        <w:rPr>
          <w:b/>
          <w:i/>
        </w:rPr>
        <w:t>an</w:t>
      </w:r>
      <w:r w:rsidRPr="00F76D49">
        <w:rPr>
          <w:b/>
          <w:i/>
        </w:rPr>
        <w:t xml:space="preserve"> be used as an indicator of vegetation growth conditions over vast areas around the globe.</w:t>
      </w:r>
      <w:r w:rsidRPr="00FE24C0">
        <w:t xml:space="preserve"> </w:t>
      </w:r>
      <w:r w:rsidR="001A24FC" w:rsidRPr="00F76D49">
        <w:t>NDVI imagery can be used not only to 1) distinguish between different types of land use cover for example, vegetation, from areas of sparse vegetation or bare soil, water and ice, but also 2) to measure the condition of the vegetative cover and to distinguish between healthy growing vegetation and vegetation which is dry or dead. Vegetation differs from other land surfaces because it tends to absorb strongly the red wavelengths of sunlight and to reflect light in the near-infrared wavelength. Several satellites including NOAA (and LANDSAT) measure the intensity of reflection from the Earth’s surface in both these wavelength ranges. The NDVI is a measure of the difference in reflectance between two wavelength ranges, the Red (R) and Near Infra Red (NIR) radiation, according to the equation (NIR-R)/(NIR+R).  By normalizing the differences the NDVI takes values between -1 and 1, with values of 0.5 and above indicating dense vegetation and values between 0.0 and 0.1 for bare soil, while water and ice have values less than 0 (Table 3.1).</w:t>
      </w:r>
    </w:p>
    <w:p w:rsidR="00233491" w:rsidRPr="00FE24C0" w:rsidRDefault="00233491" w:rsidP="00D96CE8">
      <w:pPr>
        <w:pStyle w:val="HeadFiguresTablesBoxes"/>
      </w:pPr>
      <w:proofErr w:type="gramStart"/>
      <w:r w:rsidRPr="00FE24C0">
        <w:t>Table 3.1.</w:t>
      </w:r>
      <w:proofErr w:type="gramEnd"/>
      <w:r w:rsidRPr="00FE24C0">
        <w:t xml:space="preserve"> Typical NDVI Values for Different Cover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2215"/>
        <w:gridCol w:w="2216"/>
        <w:gridCol w:w="2216"/>
      </w:tblGrid>
      <w:tr w:rsidR="00233491" w:rsidRPr="00FE24C0" w:rsidTr="00935800">
        <w:tc>
          <w:tcPr>
            <w:tcW w:w="2215" w:type="dxa"/>
          </w:tcPr>
          <w:p w:rsidR="00233491" w:rsidRPr="00FE24C0" w:rsidRDefault="00233491" w:rsidP="009E647E">
            <w:pPr>
              <w:spacing w:after="0"/>
            </w:pPr>
            <w:r w:rsidRPr="00FE24C0">
              <w:t>Cover Type</w:t>
            </w:r>
          </w:p>
        </w:tc>
        <w:tc>
          <w:tcPr>
            <w:tcW w:w="2215" w:type="dxa"/>
          </w:tcPr>
          <w:p w:rsidR="00233491" w:rsidRPr="00FE24C0" w:rsidRDefault="00233491" w:rsidP="00C01675">
            <w:pPr>
              <w:spacing w:after="0"/>
              <w:jc w:val="center"/>
            </w:pPr>
            <w:r w:rsidRPr="00FE24C0">
              <w:t>RED</w:t>
            </w:r>
          </w:p>
        </w:tc>
        <w:tc>
          <w:tcPr>
            <w:tcW w:w="2216" w:type="dxa"/>
          </w:tcPr>
          <w:p w:rsidR="00233491" w:rsidRPr="00FE24C0" w:rsidRDefault="00233491" w:rsidP="00C01675">
            <w:pPr>
              <w:spacing w:after="0"/>
              <w:jc w:val="center"/>
            </w:pPr>
            <w:r w:rsidRPr="00FE24C0">
              <w:t>NIR</w:t>
            </w:r>
          </w:p>
        </w:tc>
        <w:tc>
          <w:tcPr>
            <w:tcW w:w="2216" w:type="dxa"/>
          </w:tcPr>
          <w:p w:rsidR="00233491" w:rsidRPr="00FE24C0" w:rsidRDefault="00233491" w:rsidP="00C01675">
            <w:pPr>
              <w:spacing w:after="0"/>
              <w:jc w:val="center"/>
            </w:pPr>
            <w:r w:rsidRPr="00FE24C0">
              <w:t>NDVI</w:t>
            </w:r>
          </w:p>
        </w:tc>
      </w:tr>
      <w:tr w:rsidR="00233491" w:rsidRPr="00FE24C0" w:rsidTr="00935800">
        <w:tc>
          <w:tcPr>
            <w:tcW w:w="2215" w:type="dxa"/>
          </w:tcPr>
          <w:p w:rsidR="00233491" w:rsidRPr="00FE24C0" w:rsidRDefault="00233491" w:rsidP="009E647E">
            <w:pPr>
              <w:spacing w:after="0"/>
            </w:pPr>
            <w:r w:rsidRPr="00FE24C0">
              <w:t>Dense vegetation</w:t>
            </w:r>
          </w:p>
        </w:tc>
        <w:tc>
          <w:tcPr>
            <w:tcW w:w="2215" w:type="dxa"/>
          </w:tcPr>
          <w:p w:rsidR="00233491" w:rsidRPr="00FE24C0" w:rsidRDefault="00233491" w:rsidP="00C01675">
            <w:pPr>
              <w:spacing w:after="0"/>
              <w:jc w:val="center"/>
            </w:pPr>
            <w:r w:rsidRPr="00FE24C0">
              <w:t>0.1</w:t>
            </w:r>
          </w:p>
        </w:tc>
        <w:tc>
          <w:tcPr>
            <w:tcW w:w="2216" w:type="dxa"/>
          </w:tcPr>
          <w:p w:rsidR="00233491" w:rsidRPr="00FE24C0" w:rsidRDefault="00233491" w:rsidP="00C01675">
            <w:pPr>
              <w:spacing w:after="0"/>
              <w:jc w:val="center"/>
            </w:pPr>
            <w:r w:rsidRPr="00FE24C0">
              <w:t>0.5</w:t>
            </w:r>
          </w:p>
        </w:tc>
        <w:tc>
          <w:tcPr>
            <w:tcW w:w="2216" w:type="dxa"/>
          </w:tcPr>
          <w:p w:rsidR="00233491" w:rsidRPr="00FE24C0" w:rsidRDefault="00233491" w:rsidP="00C01675">
            <w:pPr>
              <w:spacing w:after="0"/>
              <w:jc w:val="center"/>
            </w:pPr>
            <w:r w:rsidRPr="00FE24C0">
              <w:t>0.7</w:t>
            </w:r>
          </w:p>
        </w:tc>
      </w:tr>
      <w:tr w:rsidR="00233491" w:rsidRPr="00FE24C0" w:rsidTr="00935800">
        <w:tc>
          <w:tcPr>
            <w:tcW w:w="2215" w:type="dxa"/>
          </w:tcPr>
          <w:p w:rsidR="00233491" w:rsidRPr="00FE24C0" w:rsidRDefault="00233491" w:rsidP="009E647E">
            <w:pPr>
              <w:spacing w:after="0"/>
            </w:pPr>
            <w:r w:rsidRPr="00FE24C0">
              <w:t>Dry Bare Soil</w:t>
            </w:r>
          </w:p>
        </w:tc>
        <w:tc>
          <w:tcPr>
            <w:tcW w:w="2215" w:type="dxa"/>
          </w:tcPr>
          <w:p w:rsidR="00233491" w:rsidRPr="00FE24C0" w:rsidRDefault="00233491" w:rsidP="00C01675">
            <w:pPr>
              <w:spacing w:after="0"/>
              <w:jc w:val="center"/>
            </w:pPr>
            <w:r w:rsidRPr="00FE24C0">
              <w:t>0.269</w:t>
            </w:r>
          </w:p>
        </w:tc>
        <w:tc>
          <w:tcPr>
            <w:tcW w:w="2216" w:type="dxa"/>
          </w:tcPr>
          <w:p w:rsidR="00233491" w:rsidRPr="00FE24C0" w:rsidRDefault="00233491" w:rsidP="00C01675">
            <w:pPr>
              <w:spacing w:after="0"/>
              <w:jc w:val="center"/>
            </w:pPr>
            <w:r w:rsidRPr="00FE24C0">
              <w:t>0.283</w:t>
            </w:r>
          </w:p>
        </w:tc>
        <w:tc>
          <w:tcPr>
            <w:tcW w:w="2216" w:type="dxa"/>
          </w:tcPr>
          <w:p w:rsidR="00233491" w:rsidRPr="00FE24C0" w:rsidRDefault="00233491" w:rsidP="00C01675">
            <w:pPr>
              <w:spacing w:after="0"/>
              <w:jc w:val="center"/>
            </w:pPr>
            <w:r w:rsidRPr="00FE24C0">
              <w:t>0.025</w:t>
            </w:r>
          </w:p>
        </w:tc>
      </w:tr>
      <w:tr w:rsidR="00233491" w:rsidRPr="00FE24C0" w:rsidTr="00935800">
        <w:tc>
          <w:tcPr>
            <w:tcW w:w="2215" w:type="dxa"/>
          </w:tcPr>
          <w:p w:rsidR="00233491" w:rsidRPr="00FE24C0" w:rsidRDefault="00233491" w:rsidP="009E647E">
            <w:pPr>
              <w:spacing w:after="0"/>
            </w:pPr>
            <w:r w:rsidRPr="00FE24C0">
              <w:t>Clouds</w:t>
            </w:r>
          </w:p>
        </w:tc>
        <w:tc>
          <w:tcPr>
            <w:tcW w:w="2215" w:type="dxa"/>
          </w:tcPr>
          <w:p w:rsidR="00233491" w:rsidRPr="00FE24C0" w:rsidRDefault="00233491" w:rsidP="00C01675">
            <w:pPr>
              <w:spacing w:after="0"/>
              <w:jc w:val="center"/>
            </w:pPr>
            <w:r w:rsidRPr="00FE24C0">
              <w:t>0.227</w:t>
            </w:r>
          </w:p>
        </w:tc>
        <w:tc>
          <w:tcPr>
            <w:tcW w:w="2216" w:type="dxa"/>
          </w:tcPr>
          <w:p w:rsidR="00233491" w:rsidRPr="00FE24C0" w:rsidRDefault="00233491" w:rsidP="00C01675">
            <w:pPr>
              <w:spacing w:after="0"/>
              <w:jc w:val="center"/>
            </w:pPr>
            <w:r w:rsidRPr="00FE24C0">
              <w:t>0.228</w:t>
            </w:r>
          </w:p>
        </w:tc>
        <w:tc>
          <w:tcPr>
            <w:tcW w:w="2216" w:type="dxa"/>
          </w:tcPr>
          <w:p w:rsidR="00233491" w:rsidRPr="00FE24C0" w:rsidRDefault="00233491" w:rsidP="00C01675">
            <w:pPr>
              <w:spacing w:after="0"/>
              <w:jc w:val="center"/>
            </w:pPr>
            <w:r w:rsidRPr="00FE24C0">
              <w:t>0.002</w:t>
            </w:r>
          </w:p>
        </w:tc>
      </w:tr>
      <w:tr w:rsidR="00233491" w:rsidRPr="00FE24C0" w:rsidTr="00935800">
        <w:tc>
          <w:tcPr>
            <w:tcW w:w="2215" w:type="dxa"/>
          </w:tcPr>
          <w:p w:rsidR="00233491" w:rsidRPr="00FE24C0" w:rsidRDefault="00233491" w:rsidP="009E647E">
            <w:pPr>
              <w:spacing w:after="0"/>
            </w:pPr>
            <w:r w:rsidRPr="00FE24C0">
              <w:t>Snow and Ice</w:t>
            </w:r>
          </w:p>
        </w:tc>
        <w:tc>
          <w:tcPr>
            <w:tcW w:w="2215" w:type="dxa"/>
          </w:tcPr>
          <w:p w:rsidR="00233491" w:rsidRPr="00FE24C0" w:rsidRDefault="00233491" w:rsidP="00C01675">
            <w:pPr>
              <w:spacing w:after="0"/>
              <w:jc w:val="center"/>
            </w:pPr>
            <w:r w:rsidRPr="00FE24C0">
              <w:t>0.375</w:t>
            </w:r>
          </w:p>
        </w:tc>
        <w:tc>
          <w:tcPr>
            <w:tcW w:w="2216" w:type="dxa"/>
          </w:tcPr>
          <w:p w:rsidR="00233491" w:rsidRPr="00FE24C0" w:rsidRDefault="00233491" w:rsidP="00C01675">
            <w:pPr>
              <w:spacing w:after="0"/>
              <w:jc w:val="center"/>
            </w:pPr>
            <w:r w:rsidRPr="00FE24C0">
              <w:t>0.342</w:t>
            </w:r>
          </w:p>
        </w:tc>
        <w:tc>
          <w:tcPr>
            <w:tcW w:w="2216" w:type="dxa"/>
          </w:tcPr>
          <w:p w:rsidR="00233491" w:rsidRPr="00FE24C0" w:rsidRDefault="00233491" w:rsidP="00C01675">
            <w:pPr>
              <w:spacing w:after="0"/>
              <w:jc w:val="center"/>
            </w:pPr>
            <w:r w:rsidRPr="00FE24C0">
              <w:t>-0.046</w:t>
            </w:r>
          </w:p>
        </w:tc>
      </w:tr>
      <w:tr w:rsidR="00233491" w:rsidRPr="00FE24C0" w:rsidTr="00935800">
        <w:tc>
          <w:tcPr>
            <w:tcW w:w="2215" w:type="dxa"/>
          </w:tcPr>
          <w:p w:rsidR="00233491" w:rsidRPr="00FE24C0" w:rsidRDefault="00233491" w:rsidP="009E647E">
            <w:pPr>
              <w:spacing w:after="0"/>
            </w:pPr>
            <w:r w:rsidRPr="00FE24C0">
              <w:t>Water</w:t>
            </w:r>
          </w:p>
        </w:tc>
        <w:tc>
          <w:tcPr>
            <w:tcW w:w="2215" w:type="dxa"/>
          </w:tcPr>
          <w:p w:rsidR="00233491" w:rsidRPr="00FE24C0" w:rsidRDefault="00233491" w:rsidP="00C01675">
            <w:pPr>
              <w:spacing w:after="0"/>
              <w:jc w:val="center"/>
            </w:pPr>
            <w:r w:rsidRPr="00FE24C0">
              <w:t>0.022</w:t>
            </w:r>
          </w:p>
        </w:tc>
        <w:tc>
          <w:tcPr>
            <w:tcW w:w="2216" w:type="dxa"/>
          </w:tcPr>
          <w:p w:rsidR="00233491" w:rsidRPr="00FE24C0" w:rsidRDefault="00233491" w:rsidP="00C01675">
            <w:pPr>
              <w:spacing w:after="0"/>
              <w:jc w:val="center"/>
            </w:pPr>
            <w:r w:rsidRPr="00FE24C0">
              <w:t>0.013</w:t>
            </w:r>
          </w:p>
        </w:tc>
        <w:tc>
          <w:tcPr>
            <w:tcW w:w="2216" w:type="dxa"/>
          </w:tcPr>
          <w:p w:rsidR="00233491" w:rsidRPr="00FE24C0" w:rsidRDefault="00233491" w:rsidP="00C01675">
            <w:pPr>
              <w:spacing w:after="0"/>
              <w:jc w:val="center"/>
            </w:pPr>
            <w:r w:rsidRPr="00FE24C0">
              <w:t>-0.257</w:t>
            </w:r>
          </w:p>
        </w:tc>
      </w:tr>
    </w:tbl>
    <w:p w:rsidR="00233491" w:rsidRPr="00FE24C0" w:rsidRDefault="00233491" w:rsidP="000E35EC">
      <w:pPr>
        <w:pStyle w:val="Source"/>
      </w:pPr>
      <w:r w:rsidRPr="00FE24C0">
        <w:t xml:space="preserve">Source: </w:t>
      </w:r>
      <w:r w:rsidR="00F93063" w:rsidRPr="00FE24C0">
        <w:t>Holben 1986</w:t>
      </w:r>
    </w:p>
    <w:p w:rsidR="004012B0" w:rsidRDefault="00F93063" w:rsidP="004012B0">
      <w:pPr>
        <w:pStyle w:val="WBReport"/>
      </w:pPr>
      <w:r w:rsidRPr="00F76D49">
        <w:rPr>
          <w:b/>
          <w:i/>
        </w:rPr>
        <w:t xml:space="preserve">NDVI also provides a very good indicator of the vegetative </w:t>
      </w:r>
      <w:r w:rsidR="007407F2" w:rsidRPr="00F76D49">
        <w:rPr>
          <w:b/>
          <w:i/>
        </w:rPr>
        <w:t xml:space="preserve">growth </w:t>
      </w:r>
      <w:r w:rsidRPr="00F76D49">
        <w:rPr>
          <w:b/>
          <w:i/>
        </w:rPr>
        <w:t xml:space="preserve">condition or plant </w:t>
      </w:r>
      <w:r w:rsidR="00937F0B" w:rsidRPr="00F76D49">
        <w:rPr>
          <w:b/>
          <w:i/>
        </w:rPr>
        <w:t>vigor</w:t>
      </w:r>
      <w:r w:rsidRPr="00F76D49">
        <w:rPr>
          <w:b/>
          <w:i/>
        </w:rPr>
        <w:t xml:space="preserve"> of any type of vegetation</w:t>
      </w:r>
      <w:r w:rsidRPr="00FE24C0">
        <w:t xml:space="preserve"> </w:t>
      </w:r>
      <w:r w:rsidR="001A24FC" w:rsidRPr="00FE24C0">
        <w:t xml:space="preserve">(e.g. annual crops, pasture, and forestry). The current state of vegetative growth conditions can indirectly be estimated and compared with previous vegetation growing seasons by calculating the amount of visible red light R or NIR light reflected by the vegetation to the satellites’ remote sensors. For instance, healthy plants that are photo-synthesizing absorb a great portion of visible red light (R) and reflect a large portion of the NIR light – this signature is unique to healthy green plants. Conversely, plants under stressed </w:t>
      </w:r>
      <w:r w:rsidR="001A24FC" w:rsidRPr="00FE24C0">
        <w:lastRenderedPageBreak/>
        <w:t>conditions and which are dying (i.e. due to severe dry spells) reflect very much less NIR light. In the case of natural pasture grown in SWBA Province, Argentina, typical monthly average NDVI values for healthy growing pasture are in the order of 0.5 to 0.55 while the lowest values associated with the winter dry season are about 0.30 to 0.40 and in the case of very dry drought years as low as 0.15.</w:t>
      </w:r>
    </w:p>
    <w:p w:rsidR="004012B0" w:rsidRDefault="004344F5" w:rsidP="00F76D49">
      <w:pPr>
        <w:pStyle w:val="WBReport"/>
      </w:pPr>
      <w:r w:rsidRPr="00F76D49">
        <w:rPr>
          <w:b/>
          <w:i/>
        </w:rPr>
        <w:t>The NDVI Index not only provides a good measure of the health of the vegetation cover, but it is also very closely correlated with climatic variables such as precipitation and potential evapotranspiration.</w:t>
      </w:r>
      <w:r w:rsidRPr="00FE24C0">
        <w:t xml:space="preserve"> </w:t>
      </w:r>
      <w:r w:rsidR="001A24FC" w:rsidRPr="00F76D49">
        <w:t>A major study in temperate regions of Argentina showed that climatic variables explained 89% of the variability in the annual NDVI values: the NDVI values increased linearly with mean annual precipitation and decreased with potential evapotranspiration and 80% of the variation in NDVI values were explained by precipitation and 9% by evapotranspiration (Guerschman et al 2003).  These close correlations between NDVI and plant photosynthesis and plant vigor, and in turn NDVI and amount of rainfall point to the fact that NDVI is potentially a very good proxy index to use to measure the impact on drought on pasture quality and productivity.</w:t>
      </w:r>
    </w:p>
    <w:p w:rsidR="00F76D49" w:rsidRDefault="004D7C8D" w:rsidP="00F76D49">
      <w:pPr>
        <w:pStyle w:val="WBReport"/>
      </w:pPr>
      <w:r w:rsidRPr="00F76D49">
        <w:rPr>
          <w:b/>
          <w:i/>
        </w:rPr>
        <w:t xml:space="preserve">Remote sensing Normalized Difference Vegetative Indexes (NDVI) </w:t>
      </w:r>
      <w:r w:rsidR="00627820" w:rsidRPr="00F76D49">
        <w:rPr>
          <w:b/>
          <w:i/>
        </w:rPr>
        <w:t xml:space="preserve">offer potential </w:t>
      </w:r>
      <w:r w:rsidRPr="00F76D49">
        <w:rPr>
          <w:b/>
          <w:i/>
        </w:rPr>
        <w:t xml:space="preserve">for </w:t>
      </w:r>
      <w:r w:rsidR="006C2886" w:rsidRPr="00F76D49">
        <w:rPr>
          <w:b/>
          <w:i/>
        </w:rPr>
        <w:t xml:space="preserve">insuring </w:t>
      </w:r>
      <w:r w:rsidRPr="00F76D49">
        <w:rPr>
          <w:b/>
          <w:i/>
        </w:rPr>
        <w:t xml:space="preserve">pasture </w:t>
      </w:r>
      <w:r w:rsidR="006C2886" w:rsidRPr="00F76D49">
        <w:rPr>
          <w:b/>
          <w:i/>
        </w:rPr>
        <w:t>and g</w:t>
      </w:r>
      <w:r w:rsidR="00627820" w:rsidRPr="00F76D49">
        <w:rPr>
          <w:b/>
          <w:i/>
        </w:rPr>
        <w:t>razing lands against natural and climatic p</w:t>
      </w:r>
      <w:r w:rsidR="006C2886" w:rsidRPr="00F76D49">
        <w:rPr>
          <w:b/>
          <w:i/>
        </w:rPr>
        <w:t xml:space="preserve">erils </w:t>
      </w:r>
      <w:r w:rsidR="0011444A" w:rsidRPr="00F76D49">
        <w:rPr>
          <w:b/>
          <w:i/>
        </w:rPr>
        <w:t>and several commercial schemes are now offering this insurance cover to livestock producers</w:t>
      </w:r>
      <w:r w:rsidRPr="00F76D49">
        <w:rPr>
          <w:b/>
          <w:i/>
        </w:rPr>
        <w:t>.</w:t>
      </w:r>
      <w:r w:rsidRPr="00FE24C0">
        <w:t xml:space="preserve"> </w:t>
      </w:r>
      <w:r w:rsidR="001A24FC" w:rsidRPr="00F76D49">
        <w:t xml:space="preserve">The availability of computed reliable high spatial resolution and long term NDVI values and the possibility to use NDVI values to work as an indicator of crop productivity makes it a suitable historical source of data for insurance purposes. By analyzing monthly NDVI values over a series of between 20 or more years, it is possible to construct an </w:t>
      </w:r>
      <w:r w:rsidR="007D5BAF">
        <w:t xml:space="preserve">NDVI </w:t>
      </w:r>
      <w:r w:rsidR="001A24FC" w:rsidRPr="00F76D49">
        <w:t>index for insurance purposes and which is calibrated according the frequency of extreme climate years (e.g. major droughts) and the required frequency and magnitude of payouts. However, the application of NDVI by the insurance industry is very recent. Since 2000, four agricultural insurance markets including Spain, the USA, Canada and Mexico have developed commercial pasture insurance programs based on the design of NDVI triggers. This is due to the ability of the NDVI measurements to provide an accurate proxy measure of pasture-vegetative drought stress. Payouts in all of these programs are determined based on the negative deviation of actual NDVI values in the insured area from the NDVI mean within the period of cover, according to pre-agreed indemnity payout scales corresponding to each NDVI signature in each insured geographic area. Key features of these programs are reviewed later in this Chapter.</w:t>
      </w:r>
    </w:p>
    <w:p w:rsidR="000C6233" w:rsidRDefault="006C2886" w:rsidP="00F76D49">
      <w:pPr>
        <w:pStyle w:val="Subttulo"/>
      </w:pPr>
      <w:bookmarkStart w:id="19" w:name="_Toc345794260"/>
      <w:r w:rsidRPr="00F76D49">
        <w:t xml:space="preserve">Advantages and </w:t>
      </w:r>
      <w:r w:rsidR="000170A1" w:rsidRPr="00F76D49">
        <w:t>Limitations</w:t>
      </w:r>
      <w:r w:rsidRPr="00F76D49">
        <w:t xml:space="preserve"> of NDVI Insurance for Pasture</w:t>
      </w:r>
      <w:bookmarkEnd w:id="19"/>
      <w:r w:rsidRPr="00F76D49">
        <w:t xml:space="preserve"> </w:t>
      </w:r>
    </w:p>
    <w:p w:rsidR="000C6233" w:rsidRDefault="001A24FC" w:rsidP="00F76D49">
      <w:pPr>
        <w:pStyle w:val="WBReport"/>
      </w:pPr>
      <w:r w:rsidRPr="00F76D49">
        <w:rPr>
          <w:b/>
          <w:i/>
        </w:rPr>
        <w:t>The implementation of NDVI index-based insurance contracts has many potential technical and operational advantages in comparison to traditional crop insurance policies.</w:t>
      </w:r>
      <w:r w:rsidR="00101090" w:rsidRPr="00F76D49">
        <w:rPr>
          <w:b/>
          <w:i/>
        </w:rPr>
        <w:t xml:space="preserve"> </w:t>
      </w:r>
      <w:r w:rsidR="000170A1" w:rsidRPr="00F76D49">
        <w:rPr>
          <w:b/>
          <w:i/>
        </w:rPr>
        <w:t xml:space="preserve"> </w:t>
      </w:r>
      <w:r w:rsidRPr="00F76D49">
        <w:t xml:space="preserve">Traditional indemnity-based damage or </w:t>
      </w:r>
      <w:proofErr w:type="gramStart"/>
      <w:r w:rsidRPr="00F76D49">
        <w:t>loss of yield crop insurance policies have</w:t>
      </w:r>
      <w:proofErr w:type="gramEnd"/>
      <w:r w:rsidRPr="00F76D49">
        <w:t xml:space="preserve"> not been successfully adapted for natural pasture and grazing anywhere in the world. There are several key potential advantages of an NDVI pasture index including: (i) reduced adverse selection and moral hazard because the indemnity payout is based on the NDVI index, which is less easy to  manipulate by farmers</w:t>
      </w:r>
      <w:r w:rsidRPr="00FE24C0">
        <w:rPr>
          <w:rStyle w:val="Refdenotaalpie"/>
          <w:b/>
        </w:rPr>
        <w:footnoteReference w:id="24"/>
      </w:r>
      <w:r w:rsidRPr="00F76D49">
        <w:t xml:space="preserve"> to increase the potential likelihood or magnitude of a loss to be </w:t>
      </w:r>
      <w:r w:rsidRPr="00F76D49">
        <w:lastRenderedPageBreak/>
        <w:t>indemnified by an insurance company; (ii) NDVI insurance can be designed to protect different insurable interests, including: individual farmers (Micro-level insurance), regional aggregators such as input suppliers or rural banks (Meso-level insurance) and regional governments or authorities (Macro-level insurance); (iii) the possibility to provide NDVI insurance benefits to small livestock farmers: given that NDVI index insurance products are based on an agreed measured value that acts as an objective indicator of the losses incurred by the insured, there is no need to conduct pre-inspections on individual farms and to assess individual farmer losses, and this reduces the transaction and implementation costs of insurance for small farm units; (iv) the transparent structure of NDVI insurance products may facilitate the understanding process of the contract wording</w:t>
      </w:r>
      <w:r w:rsidR="007D5BAF">
        <w:t>; a</w:t>
      </w:r>
      <w:r w:rsidR="008F4220">
        <w:t>n</w:t>
      </w:r>
      <w:r w:rsidR="007D5BAF">
        <w:t>d (v) the advantage of complete and consistent spatial coverage at low cost</w:t>
      </w:r>
      <w:r w:rsidRPr="00F76D49">
        <w:t>.</w:t>
      </w:r>
    </w:p>
    <w:p w:rsidR="000C6233" w:rsidRDefault="004071BC" w:rsidP="00F76D49">
      <w:pPr>
        <w:pStyle w:val="WBReport"/>
      </w:pPr>
      <w:r w:rsidRPr="00F76D49">
        <w:rPr>
          <w:b/>
          <w:i/>
        </w:rPr>
        <w:t xml:space="preserve">Despite the many advantages of NDVI index insurance contracts; there are </w:t>
      </w:r>
      <w:r w:rsidR="00D016B8" w:rsidRPr="00F76D49">
        <w:rPr>
          <w:b/>
          <w:i/>
        </w:rPr>
        <w:t xml:space="preserve">several </w:t>
      </w:r>
      <w:r w:rsidRPr="00F76D49">
        <w:rPr>
          <w:b/>
          <w:i/>
        </w:rPr>
        <w:t xml:space="preserve">technical </w:t>
      </w:r>
      <w:r w:rsidR="00D016B8" w:rsidRPr="00F76D49">
        <w:rPr>
          <w:b/>
          <w:i/>
        </w:rPr>
        <w:t>limitations of the technology</w:t>
      </w:r>
      <w:r w:rsidR="00E55A3E" w:rsidRPr="00F76D49">
        <w:rPr>
          <w:i/>
        </w:rPr>
        <w:t>:</w:t>
      </w:r>
      <w:r w:rsidR="00D016B8" w:rsidRPr="00FE24C0">
        <w:t xml:space="preserve"> </w:t>
      </w:r>
      <w:r w:rsidR="001A24FC" w:rsidRPr="00F76D49">
        <w:t xml:space="preserve">(i) NDVI sensors are very sensitive to cloud cover which scatters the red radiation thereby reducing the NDVI values and /or resulting in missing values.  Similarly volcanic ash fallout reduces the NDVI values and although correction procedures have been developed by NASA not all corrected imagery is of high quality; (ii) </w:t>
      </w:r>
      <w:proofErr w:type="gramStart"/>
      <w:r w:rsidR="001A24FC" w:rsidRPr="00F76D49">
        <w:t>The</w:t>
      </w:r>
      <w:proofErr w:type="gramEnd"/>
      <w:r w:rsidR="001A24FC" w:rsidRPr="00F76D49">
        <w:t xml:space="preserve"> spatial resolution of the sensors is also a major limiting factor especially in the design of pasture insurance covers</w:t>
      </w:r>
      <w:r w:rsidR="001A24FC" w:rsidRPr="00226221">
        <w:rPr>
          <w:vertAlign w:val="superscript"/>
        </w:rPr>
        <w:footnoteReference w:id="25"/>
      </w:r>
      <w:r w:rsidR="001A24FC" w:rsidRPr="00F76D49">
        <w:t>.  The first NDVI LANDSAT sensors in the 1980s and 1990s typically produced NDVI imagery for Argentina at a resolution of 5 km x 5 km grids or pixels, and although this was reduced by MODIS in 2000 to 250 meters x 250 meters, where long time-series NDVI datasets of 20 years or more are required for index contract design and rating purposes, the highest resolution is still 5 km x 5km for Argentina. Such a resolution can be used to construct a general NDVI-pasture index for the 5 km x 5 km area, but not to provide index insurance at the individual farmer and field level. This may, however, change in future with the increasingly cheap access to satellite imagery at resolutions as low as 30 meters x 30 meters or less; (iii) Another issue related to the development of NDVI indexes is that the land use within the pixel is seldom 100% one vegetation type and therefore the NDVI value measured by the remote sensor at any time is the sum of the reflection of all vegetation and land cover types. Also land use patterns may change over time and for example, motivated by market conditions (i.e. increase in crop prices); farmers may decide to plough up their natural pasture and grazing land and to plant annual cereal crops. The design of an NDVI Index therefore requires very careful analysis of the historical land use and also preparation of land use maps to distinguish pasture resource units from all other types of land use (See Chapter 4 for further discussion in relation to the development of the NDVI database for pasture areas in SWBA).</w:t>
      </w:r>
    </w:p>
    <w:p w:rsidR="00226221" w:rsidRDefault="00AF56CA" w:rsidP="00F76D49">
      <w:pPr>
        <w:pStyle w:val="WBReport"/>
      </w:pPr>
      <w:r w:rsidRPr="00F76D49">
        <w:rPr>
          <w:b/>
          <w:i/>
        </w:rPr>
        <w:t xml:space="preserve">From a </w:t>
      </w:r>
      <w:r w:rsidR="00EC54CC" w:rsidRPr="00F76D49">
        <w:rPr>
          <w:b/>
          <w:i/>
        </w:rPr>
        <w:t xml:space="preserve">contract </w:t>
      </w:r>
      <w:r w:rsidRPr="00F76D49">
        <w:rPr>
          <w:b/>
          <w:i/>
        </w:rPr>
        <w:t xml:space="preserve">design and </w:t>
      </w:r>
      <w:r w:rsidR="004071BC" w:rsidRPr="00F76D49">
        <w:rPr>
          <w:b/>
          <w:i/>
        </w:rPr>
        <w:t xml:space="preserve">operational </w:t>
      </w:r>
      <w:r w:rsidRPr="00F76D49">
        <w:rPr>
          <w:b/>
          <w:i/>
        </w:rPr>
        <w:t xml:space="preserve">viewpoint one of the major challenges which </w:t>
      </w:r>
      <w:proofErr w:type="gramStart"/>
      <w:r w:rsidRPr="00F76D49">
        <w:rPr>
          <w:b/>
          <w:i/>
        </w:rPr>
        <w:t>has</w:t>
      </w:r>
      <w:proofErr w:type="gramEnd"/>
      <w:r w:rsidRPr="00F76D49">
        <w:rPr>
          <w:b/>
          <w:i/>
        </w:rPr>
        <w:t xml:space="preserve"> to be addressed with any form of parametric or index insurance </w:t>
      </w:r>
      <w:r w:rsidR="009817DA" w:rsidRPr="00F76D49">
        <w:rPr>
          <w:b/>
          <w:i/>
        </w:rPr>
        <w:t>is</w:t>
      </w:r>
      <w:r w:rsidRPr="00F76D49">
        <w:rPr>
          <w:b/>
          <w:i/>
        </w:rPr>
        <w:t xml:space="preserve"> the issue of </w:t>
      </w:r>
      <w:r w:rsidR="001A24FC" w:rsidRPr="00F76D49">
        <w:rPr>
          <w:b/>
          <w:i/>
        </w:rPr>
        <w:t>basis risk</w:t>
      </w:r>
      <w:r w:rsidRPr="00F76D49">
        <w:rPr>
          <w:b/>
          <w:i/>
        </w:rPr>
        <w:t xml:space="preserve"> and this is extremely </w:t>
      </w:r>
      <w:r w:rsidR="009817DA" w:rsidRPr="00F76D49">
        <w:rPr>
          <w:b/>
          <w:i/>
        </w:rPr>
        <w:t>relevant</w:t>
      </w:r>
      <w:r w:rsidRPr="00F76D49">
        <w:rPr>
          <w:b/>
          <w:i/>
        </w:rPr>
        <w:t xml:space="preserve"> for any NDVI-Pasture index insurance programs.</w:t>
      </w:r>
      <w:r w:rsidRPr="00FE24C0">
        <w:t xml:space="preserve"> </w:t>
      </w:r>
      <w:r w:rsidR="001A24FC" w:rsidRPr="00F76D49">
        <w:t xml:space="preserve">Basis risk is the difference between the loss as measured by the proxy indicator (in this case the NDVI index value as measured by the satellite for a specific pixel or area grid) and the actual loss incurred by the Insured livestock producer(s) on the ground (in this case losses in pasture production / grazing quality for land located in the specific pixel). </w:t>
      </w:r>
      <w:r w:rsidR="00FB75E3">
        <w:t>Basis Risk</w:t>
      </w:r>
      <w:r w:rsidR="00E12B1C">
        <w:t xml:space="preserve"> can arise from a number of reasons which are summarized in Box 3.</w:t>
      </w:r>
      <w:r w:rsidR="00F00972">
        <w:t xml:space="preserve">1 </w:t>
      </w:r>
      <w:r w:rsidR="00E12B1C">
        <w:t>below</w:t>
      </w:r>
      <w:r w:rsidR="00A17DE3">
        <w:t xml:space="preserve">.  In the case of the current NDVI policy that has been designed for Argentina, the major source of basis risk is </w:t>
      </w:r>
      <w:r w:rsidR="00F0345D" w:rsidRPr="00F0345D">
        <w:rPr>
          <w:b/>
        </w:rPr>
        <w:t>spatial risk</w:t>
      </w:r>
      <w:r w:rsidR="00A17DE3">
        <w:t xml:space="preserve"> namely the fact that with a resolution of 5 km x 5 km images, </w:t>
      </w:r>
      <w:r w:rsidR="00F00972">
        <w:t xml:space="preserve">the average NDVI value over an area iof 2,500 Ha is not necessarily representative of the actual NDVI values in individual fields of pasture and grazing </w:t>
      </w:r>
      <w:r w:rsidR="00F00972">
        <w:lastRenderedPageBreak/>
        <w:t xml:space="preserve">belonging to individual farmers. </w:t>
      </w:r>
      <w:r w:rsidR="00FB75E3">
        <w:t xml:space="preserve"> </w:t>
      </w:r>
      <w:r w:rsidR="00F00972">
        <w:t xml:space="preserve">Under the current feasibility study every attempt has been made to reduce </w:t>
      </w:r>
      <w:proofErr w:type="gramStart"/>
      <w:r w:rsidR="00571360" w:rsidRPr="00571360">
        <w:rPr>
          <w:b/>
        </w:rPr>
        <w:t>Temporal</w:t>
      </w:r>
      <w:proofErr w:type="gramEnd"/>
      <w:r w:rsidR="00571360" w:rsidRPr="00571360">
        <w:rPr>
          <w:b/>
        </w:rPr>
        <w:t xml:space="preserve"> </w:t>
      </w:r>
      <w:r w:rsidR="00F00972">
        <w:rPr>
          <w:b/>
        </w:rPr>
        <w:t xml:space="preserve">basis </w:t>
      </w:r>
      <w:r w:rsidR="00571360" w:rsidRPr="00571360">
        <w:rPr>
          <w:b/>
        </w:rPr>
        <w:t>risk</w:t>
      </w:r>
      <w:r w:rsidR="00F00972">
        <w:t xml:space="preserve"> by triggering payouts on a monthly basis during the cover period.  </w:t>
      </w:r>
      <w:r w:rsidR="00571360" w:rsidRPr="00571360">
        <w:rPr>
          <w:b/>
        </w:rPr>
        <w:t>Product basis risk</w:t>
      </w:r>
      <w:r w:rsidR="00F00972">
        <w:t xml:space="preserve"> is generally less of a problem for a pasture NDVI index than a single peril rainfall-deficit weather index cover, because the NDVI is a direct measure of the vegetative health of the pasture and therefore includes a wide range of natural, climatic and biological perils which can impact on pasture production and quality. Finally </w:t>
      </w:r>
      <w:r w:rsidR="00571360" w:rsidRPr="00571360">
        <w:rPr>
          <w:b/>
        </w:rPr>
        <w:t xml:space="preserve">Contract design </w:t>
      </w:r>
      <w:r w:rsidR="00A11680">
        <w:rPr>
          <w:b/>
        </w:rPr>
        <w:t xml:space="preserve">basis </w:t>
      </w:r>
      <w:r w:rsidR="00571360" w:rsidRPr="00571360">
        <w:rPr>
          <w:b/>
        </w:rPr>
        <w:t>risk</w:t>
      </w:r>
      <w:r w:rsidR="00F00972">
        <w:rPr>
          <w:b/>
        </w:rPr>
        <w:t xml:space="preserve"> </w:t>
      </w:r>
      <w:r w:rsidR="00F00972">
        <w:t xml:space="preserve">arises where threshold triggers and exit trigger are incorrectly specified and do not bear </w:t>
      </w:r>
      <w:r w:rsidR="00A11680">
        <w:t xml:space="preserve">an </w:t>
      </w:r>
      <w:r w:rsidR="00F00972">
        <w:t>a</w:t>
      </w:r>
      <w:r w:rsidR="00A11680">
        <w:t>dequate</w:t>
      </w:r>
      <w:r w:rsidR="00F00972">
        <w:t xml:space="preserve"> relationship to actual losses</w:t>
      </w:r>
      <w:r w:rsidR="00A11680">
        <w:t xml:space="preserve"> which may be incurred on the ground. </w:t>
      </w:r>
      <w:r w:rsidR="001A24FC" w:rsidRPr="00F76D49">
        <w:t>In the design of an NDVI pasture-index every attempt should be made to ensure that index is as carefully calibrated as possible to reflect actual losses in pasture on the ground.</w:t>
      </w:r>
      <w:r w:rsidR="00A11680">
        <w:t xml:space="preserve"> (See Ch</w:t>
      </w:r>
      <w:r w:rsidR="00CC2F8C">
        <w:t>ap</w:t>
      </w:r>
      <w:r w:rsidR="00A11680">
        <w:t>ter 5).</w:t>
      </w:r>
    </w:p>
    <w:p w:rsidR="00E12B1C" w:rsidRPr="00177810" w:rsidRDefault="00A17DE3" w:rsidP="00177810">
      <w:pPr>
        <w:pStyle w:val="WBReport"/>
        <w:numPr>
          <w:ilvl w:val="0"/>
          <w:numId w:val="0"/>
        </w:numPr>
        <w:rPr>
          <w:b/>
        </w:rPr>
      </w:pPr>
      <w:r w:rsidRPr="00177810">
        <w:rPr>
          <w:b/>
        </w:rPr>
        <w:t>Box 3.1. Sources of Basis Risk in Weather Index (and NDVI) Insurance</w:t>
      </w:r>
    </w:p>
    <w:p w:rsidR="00E12B1C" w:rsidRPr="00177810" w:rsidRDefault="00E12B1C" w:rsidP="00177810">
      <w:pPr>
        <w:pStyle w:val="TableBullet1"/>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Times New Roman" w:hAnsi="Times New Roman"/>
          <w:szCs w:val="20"/>
        </w:rPr>
      </w:pPr>
      <w:r w:rsidRPr="00177810">
        <w:rPr>
          <w:rStyle w:val="MainIdeaChar"/>
          <w:rFonts w:ascii="Times New Roman" w:hAnsi="Times New Roman"/>
          <w:sz w:val="20"/>
          <w:szCs w:val="20"/>
        </w:rPr>
        <w:t xml:space="preserve">Basis Risk: </w:t>
      </w:r>
      <w:r w:rsidRPr="00177810">
        <w:rPr>
          <w:rFonts w:ascii="Times New Roman" w:hAnsi="Times New Roman"/>
          <w:szCs w:val="20"/>
        </w:rPr>
        <w:t xml:space="preserve">Basis risk in </w:t>
      </w:r>
      <w:r w:rsidR="00A17DE3" w:rsidRPr="00177810">
        <w:rPr>
          <w:rFonts w:ascii="Times New Roman" w:hAnsi="Times New Roman"/>
          <w:szCs w:val="20"/>
        </w:rPr>
        <w:t>Weather Index Insurance (WII)</w:t>
      </w:r>
      <w:r w:rsidRPr="00177810">
        <w:rPr>
          <w:rFonts w:ascii="Times New Roman" w:hAnsi="Times New Roman"/>
          <w:szCs w:val="20"/>
        </w:rPr>
        <w:t xml:space="preserve"> is a key constraint. </w:t>
      </w:r>
      <w:r w:rsidR="00E43164">
        <w:rPr>
          <w:rFonts w:ascii="Times New Roman" w:hAnsi="Times New Roman"/>
          <w:szCs w:val="20"/>
        </w:rPr>
        <w:t>For micro-level individual farmer insurance b</w:t>
      </w:r>
      <w:r w:rsidRPr="00177810">
        <w:rPr>
          <w:rFonts w:ascii="Times New Roman" w:hAnsi="Times New Roman"/>
          <w:szCs w:val="20"/>
        </w:rPr>
        <w:t xml:space="preserve">asis risk is the difference between the loss experienced by the farmer and the payout triggered by the Index. It could result in a farmer experiencing yield loss, but not receiving a payout or also in a payout being triggered without any loss being experienced. </w:t>
      </w:r>
      <w:r w:rsidR="00E43164">
        <w:rPr>
          <w:rFonts w:ascii="Times New Roman" w:hAnsi="Times New Roman"/>
          <w:szCs w:val="20"/>
        </w:rPr>
        <w:t>Basis risk is less of an issue for meso or macro-level index insurance</w:t>
      </w:r>
      <w:r w:rsidR="00452CAC">
        <w:rPr>
          <w:rFonts w:ascii="Times New Roman" w:hAnsi="Times New Roman"/>
          <w:szCs w:val="20"/>
        </w:rPr>
        <w:t xml:space="preserve"> policies</w:t>
      </w:r>
      <w:r w:rsidR="00E43164">
        <w:rPr>
          <w:rFonts w:ascii="Times New Roman" w:hAnsi="Times New Roman"/>
          <w:szCs w:val="20"/>
        </w:rPr>
        <w:t xml:space="preserve"> where the intention is to compensate catastrophe regional loss events and not localized losses</w:t>
      </w:r>
      <w:r w:rsidR="00452CAC">
        <w:rPr>
          <w:rFonts w:ascii="Times New Roman" w:hAnsi="Times New Roman"/>
          <w:szCs w:val="20"/>
        </w:rPr>
        <w:t xml:space="preserve"> at the individual farmer-level</w:t>
      </w:r>
      <w:r w:rsidR="00E43164">
        <w:rPr>
          <w:rFonts w:ascii="Times New Roman" w:hAnsi="Times New Roman"/>
          <w:szCs w:val="20"/>
        </w:rPr>
        <w:t xml:space="preserve">. </w:t>
      </w:r>
      <w:r w:rsidRPr="00177810">
        <w:rPr>
          <w:rFonts w:ascii="Times New Roman" w:hAnsi="Times New Roman"/>
          <w:szCs w:val="20"/>
        </w:rPr>
        <w:t>Index insurance works best where losses are homogenous in the defined area, and highly correlated with the indexed peril. Basis risk can arise from:</w:t>
      </w:r>
    </w:p>
    <w:p w:rsidR="00E12B1C" w:rsidRPr="00177810" w:rsidRDefault="00E12B1C" w:rsidP="00177810">
      <w:pPr>
        <w:pStyle w:val="Bullet2"/>
        <w:numPr>
          <w:ilvl w:val="1"/>
          <w:numId w:val="2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1800"/>
          <w:tab w:val="num" w:pos="720"/>
        </w:tabs>
        <w:ind w:left="720"/>
        <w:rPr>
          <w:rFonts w:ascii="Times New Roman" w:eastAsia="MS Mincho" w:hAnsi="Times New Roman"/>
          <w:b/>
          <w:bCs/>
          <w:iCs/>
          <w:szCs w:val="20"/>
        </w:rPr>
      </w:pPr>
      <w:r w:rsidRPr="00177810">
        <w:rPr>
          <w:rStyle w:val="MainIdeaChar"/>
          <w:rFonts w:ascii="Times New Roman" w:hAnsi="Times New Roman"/>
          <w:sz w:val="20"/>
          <w:szCs w:val="20"/>
        </w:rPr>
        <w:t>Spatial basis risk</w:t>
      </w:r>
      <w:r w:rsidRPr="00177810">
        <w:rPr>
          <w:rFonts w:ascii="Times New Roman" w:hAnsi="Times New Roman"/>
          <w:szCs w:val="20"/>
        </w:rPr>
        <w:t>: Local variations in the peril occurrence (e.g., rainfall) within the area surrounding a weather station.</w:t>
      </w:r>
    </w:p>
    <w:p w:rsidR="00E12B1C" w:rsidRPr="00177810" w:rsidRDefault="00E12B1C" w:rsidP="00177810">
      <w:pPr>
        <w:pStyle w:val="Bullet2"/>
        <w:numPr>
          <w:ilvl w:val="1"/>
          <w:numId w:val="2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1800"/>
          <w:tab w:val="num" w:pos="720"/>
        </w:tabs>
        <w:ind w:left="720"/>
        <w:rPr>
          <w:b/>
          <w:bCs/>
          <w:iCs/>
          <w:szCs w:val="20"/>
        </w:rPr>
      </w:pPr>
      <w:r w:rsidRPr="00177810">
        <w:rPr>
          <w:rStyle w:val="MainIdeaChar"/>
          <w:rFonts w:ascii="Times New Roman" w:hAnsi="Times New Roman"/>
          <w:sz w:val="20"/>
          <w:szCs w:val="20"/>
        </w:rPr>
        <w:t>Temporal basis risk:</w:t>
      </w:r>
      <w:r w:rsidRPr="00177810">
        <w:rPr>
          <w:rFonts w:ascii="Times New Roman" w:hAnsi="Times New Roman"/>
          <w:szCs w:val="20"/>
        </w:rPr>
        <w:t xml:space="preserve"> Inter-annual variations in seasonal crop phases, meaning that the insurance phases are not aligned in time with the intended crop growth stage.</w:t>
      </w:r>
    </w:p>
    <w:p w:rsidR="00E12B1C" w:rsidRPr="00177810" w:rsidRDefault="00E12B1C" w:rsidP="00177810">
      <w:pPr>
        <w:pStyle w:val="Bullet2"/>
        <w:numPr>
          <w:ilvl w:val="1"/>
          <w:numId w:val="2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1800"/>
          <w:tab w:val="num" w:pos="720"/>
        </w:tabs>
        <w:ind w:left="720"/>
        <w:rPr>
          <w:b/>
          <w:bCs/>
          <w:iCs/>
          <w:szCs w:val="20"/>
        </w:rPr>
      </w:pPr>
      <w:r w:rsidRPr="00177810">
        <w:rPr>
          <w:rStyle w:val="MainIdeaChar"/>
          <w:rFonts w:ascii="Times New Roman" w:hAnsi="Times New Roman"/>
          <w:sz w:val="20"/>
          <w:szCs w:val="20"/>
        </w:rPr>
        <w:t xml:space="preserve">Product basis risk: </w:t>
      </w:r>
      <w:r w:rsidRPr="00177810">
        <w:rPr>
          <w:rFonts w:ascii="Times New Roman" w:hAnsi="Times New Roman"/>
          <w:szCs w:val="20"/>
        </w:rPr>
        <w:t>Crop losses can be caused by many factors. Where there is not a clear-cut relationship between loss and the indexed weather peril, basis risk can be high. WII is most likely to work for rainfed crops, and at severe levels of the event, when losses may be more widespread and homogenous.</w:t>
      </w:r>
    </w:p>
    <w:p w:rsidR="00A17DE3" w:rsidRPr="00177810" w:rsidRDefault="00A11680" w:rsidP="00177810">
      <w:pPr>
        <w:pStyle w:val="Bullet2"/>
        <w:numPr>
          <w:ilvl w:val="1"/>
          <w:numId w:val="2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1800"/>
          <w:tab w:val="num" w:pos="720"/>
        </w:tabs>
        <w:ind w:left="720"/>
        <w:rPr>
          <w:b/>
          <w:bCs/>
          <w:iCs/>
          <w:szCs w:val="22"/>
        </w:rPr>
      </w:pPr>
      <w:r>
        <w:rPr>
          <w:rStyle w:val="MainIdeaChar"/>
          <w:rFonts w:ascii="Times New Roman" w:hAnsi="Times New Roman"/>
          <w:sz w:val="20"/>
          <w:szCs w:val="20"/>
        </w:rPr>
        <w:t>Contract d</w:t>
      </w:r>
      <w:r w:rsidR="00A17DE3" w:rsidRPr="00177810">
        <w:rPr>
          <w:rStyle w:val="MainIdeaChar"/>
          <w:rFonts w:ascii="Times New Roman" w:hAnsi="Times New Roman"/>
          <w:sz w:val="20"/>
          <w:szCs w:val="20"/>
        </w:rPr>
        <w:t xml:space="preserve">esign </w:t>
      </w:r>
      <w:r>
        <w:rPr>
          <w:rStyle w:val="MainIdeaChar"/>
          <w:rFonts w:ascii="Times New Roman" w:hAnsi="Times New Roman"/>
          <w:sz w:val="20"/>
          <w:szCs w:val="20"/>
        </w:rPr>
        <w:t xml:space="preserve">basis </w:t>
      </w:r>
      <w:r w:rsidR="00A17DE3" w:rsidRPr="00177810">
        <w:rPr>
          <w:rStyle w:val="MainIdeaChar"/>
          <w:rFonts w:ascii="Times New Roman" w:hAnsi="Times New Roman"/>
          <w:sz w:val="20"/>
          <w:szCs w:val="20"/>
        </w:rPr>
        <w:t>risk:</w:t>
      </w:r>
      <w:r w:rsidR="00A17DE3" w:rsidRPr="00177810">
        <w:rPr>
          <w:rFonts w:ascii="Times New Roman" w:eastAsia="MS Mincho" w:hAnsi="Times New Roman"/>
          <w:b/>
          <w:bCs/>
          <w:iCs/>
          <w:szCs w:val="20"/>
        </w:rPr>
        <w:t xml:space="preserve"> </w:t>
      </w:r>
      <w:r w:rsidR="00A17DE3" w:rsidRPr="00177810">
        <w:rPr>
          <w:rFonts w:ascii="Times New Roman" w:eastAsia="MS Mincho" w:hAnsi="Times New Roman"/>
          <w:bCs/>
          <w:iCs/>
          <w:szCs w:val="20"/>
        </w:rPr>
        <w:t>Which occurs where the threshold triggers and exit triggers are not carefully calibrated with actual losses experienced on the ground.</w:t>
      </w:r>
    </w:p>
    <w:p w:rsidR="00E12B1C" w:rsidRPr="00177810" w:rsidRDefault="00A17DE3" w:rsidP="00177810">
      <w:pPr>
        <w:pStyle w:val="WBReport"/>
        <w:numPr>
          <w:ilvl w:val="0"/>
          <w:numId w:val="0"/>
        </w:numPr>
        <w:ind w:left="720"/>
        <w:rPr>
          <w:sz w:val="20"/>
          <w:szCs w:val="20"/>
        </w:rPr>
      </w:pPr>
      <w:r w:rsidRPr="00177810">
        <w:rPr>
          <w:sz w:val="20"/>
          <w:szCs w:val="20"/>
        </w:rPr>
        <w:t>Source: Adapated from World Bank Weather Index Training Manuals 2011</w:t>
      </w:r>
    </w:p>
    <w:p w:rsidR="000C6233" w:rsidRDefault="000C6233" w:rsidP="00226221"/>
    <w:p w:rsidR="004071BC" w:rsidRPr="00F76D49" w:rsidRDefault="004071BC" w:rsidP="00F76D49">
      <w:pPr>
        <w:pStyle w:val="Subttulo"/>
        <w:rPr>
          <w:sz w:val="22"/>
        </w:rPr>
      </w:pPr>
      <w:bookmarkStart w:id="20" w:name="_Toc345794261"/>
      <w:r w:rsidRPr="00F76D49">
        <w:t xml:space="preserve">International Experience with NDVI Insurance for </w:t>
      </w:r>
      <w:r w:rsidR="00937F0B" w:rsidRPr="00F76D49">
        <w:t>Pasture</w:t>
      </w:r>
      <w:bookmarkEnd w:id="20"/>
    </w:p>
    <w:p w:rsidR="009E4E53" w:rsidRDefault="004071BC" w:rsidP="009E4E53">
      <w:pPr>
        <w:pStyle w:val="WBReport"/>
      </w:pPr>
      <w:r w:rsidRPr="00F76D49">
        <w:rPr>
          <w:b/>
          <w:i/>
        </w:rPr>
        <w:t xml:space="preserve">Currently NDVI is being used for commercial </w:t>
      </w:r>
      <w:r w:rsidR="00C51013" w:rsidRPr="00F76D49">
        <w:rPr>
          <w:b/>
          <w:i/>
        </w:rPr>
        <w:t xml:space="preserve">livestock </w:t>
      </w:r>
      <w:r w:rsidRPr="00F76D49">
        <w:rPr>
          <w:b/>
          <w:i/>
        </w:rPr>
        <w:t>pasture insurance programs in four countries and several other countries are experimenting with this product.</w:t>
      </w:r>
      <w:r w:rsidR="000013C9" w:rsidRPr="00F76D49">
        <w:rPr>
          <w:b/>
        </w:rPr>
        <w:t xml:space="preserve"> </w:t>
      </w:r>
      <w:r w:rsidR="000013C9" w:rsidRPr="00F76D49">
        <w:t xml:space="preserve">Table </w:t>
      </w:r>
      <w:r w:rsidR="003C6FA7" w:rsidRPr="00F76D49">
        <w:t>3.2</w:t>
      </w:r>
      <w:r w:rsidR="000013C9" w:rsidRPr="00F76D49">
        <w:t xml:space="preserve"> presents a summary of the international experience of the uses of remote sensing NDVI index-based insurance to </w:t>
      </w:r>
      <w:r w:rsidR="00EA258F" w:rsidRPr="00F76D49">
        <w:t xml:space="preserve">insure livestock producers against losses in pasture and </w:t>
      </w:r>
      <w:r w:rsidR="000013C9" w:rsidRPr="00F76D49">
        <w:t>grassland production</w:t>
      </w:r>
      <w:r w:rsidR="00EA258F" w:rsidRPr="00F76D49">
        <w:t xml:space="preserve"> and key features of these programs are reviewed below</w:t>
      </w:r>
      <w:r w:rsidR="000013C9" w:rsidRPr="00F76D49">
        <w:t>.</w:t>
      </w:r>
      <w:r w:rsidR="00EA258F" w:rsidRPr="00F76D49">
        <w:t xml:space="preserve"> The four countries that have offered commercial pasture NDVI insurance programs to livestock producers since the early 2000s include USA, </w:t>
      </w:r>
      <w:r w:rsidR="00055FAA" w:rsidRPr="00F76D49">
        <w:t xml:space="preserve">Alberta Province, </w:t>
      </w:r>
      <w:r w:rsidR="00EA258F" w:rsidRPr="00F76D49">
        <w:t>Canada, Spain and Mexico.</w:t>
      </w:r>
      <w:r w:rsidR="00EC54CC" w:rsidRPr="00F76D49">
        <w:t xml:space="preserve"> All four programs are aimed </w:t>
      </w:r>
      <w:r w:rsidR="000A39AE" w:rsidRPr="00F76D49">
        <w:t xml:space="preserve">primarily </w:t>
      </w:r>
      <w:r w:rsidR="00EC54CC" w:rsidRPr="00F76D49">
        <w:t>at the cattle livestock sectors</w:t>
      </w:r>
      <w:r w:rsidR="00D00832" w:rsidRPr="00F76D49">
        <w:t xml:space="preserve"> but</w:t>
      </w:r>
      <w:r w:rsidR="000A39AE" w:rsidRPr="00F76D49">
        <w:t xml:space="preserve"> in Spain sheep and goats and horses can also be insured</w:t>
      </w:r>
      <w:r w:rsidR="00EC54CC" w:rsidRPr="00F76D49">
        <w:t>.</w:t>
      </w:r>
    </w:p>
    <w:p w:rsidR="009F41A1" w:rsidRDefault="009F41A1" w:rsidP="00F76D49">
      <w:pPr>
        <w:pStyle w:val="WBReport"/>
      </w:pPr>
      <w:r w:rsidRPr="00F76D49">
        <w:rPr>
          <w:b/>
          <w:i/>
        </w:rPr>
        <w:t>Three of the NDVI Pasture Index Insurance programs in the USA, Canada and Spain are designed as individual livestock producer programs, while the Mex</w:t>
      </w:r>
      <w:r w:rsidR="005C1165" w:rsidRPr="00F76D49">
        <w:rPr>
          <w:b/>
          <w:i/>
        </w:rPr>
        <w:t>ic</w:t>
      </w:r>
      <w:r w:rsidRPr="00F76D49">
        <w:rPr>
          <w:b/>
          <w:i/>
        </w:rPr>
        <w:t>an program is a government catastrophe index co</w:t>
      </w:r>
      <w:r w:rsidR="005C1165" w:rsidRPr="00F76D49">
        <w:rPr>
          <w:b/>
          <w:i/>
        </w:rPr>
        <w:t>ve</w:t>
      </w:r>
      <w:r w:rsidRPr="00F76D49">
        <w:rPr>
          <w:b/>
          <w:i/>
        </w:rPr>
        <w:t xml:space="preserve">r designed to make payouts to small livestock producers in </w:t>
      </w:r>
      <w:r w:rsidRPr="00F76D49">
        <w:rPr>
          <w:b/>
          <w:i/>
        </w:rPr>
        <w:lastRenderedPageBreak/>
        <w:t>times of major drought losses in pasture.</w:t>
      </w:r>
      <w:r w:rsidRPr="00FE24C0">
        <w:t xml:space="preserve"> </w:t>
      </w:r>
      <w:r w:rsidR="001A24FC" w:rsidRPr="00F76D49">
        <w:t>In USA, Canada and Spain the pasture NDVI programs are marketed by insurance companies on a voluntary basis to interested individual livestock producers (micro-level insurance). In Mexico, however, the federal and state governments purchase macro-level NDVI cover which is used to finance payouts in the event of catastrophe losses in pasture and grazing to the large numbers of smaller livestock producers in each state.  These small livestock producers are registered and are the automatic beneficiaries of the insurance payouts, but they do not contribute to the premium costs of this cover which are 100% born by federal and state governments. The Mexican government calculates that it is much more cost effective to purchase insurance cover on behalf of this sector of smallholder livestock producers and to receive indemnity payouts in the event of a loss rather than to rely on ex-post disaster compensation payments which would have to be 100% financed out of the national and state budgets.</w:t>
      </w:r>
      <w:r w:rsidR="001A24FC" w:rsidRPr="00226221">
        <w:rPr>
          <w:vertAlign w:val="superscript"/>
        </w:rPr>
        <w:footnoteReference w:id="26"/>
      </w:r>
    </w:p>
    <w:p w:rsidR="00EC54CC" w:rsidRDefault="00EC54CC" w:rsidP="00F76D49">
      <w:pPr>
        <w:pStyle w:val="WBReport"/>
      </w:pPr>
      <w:r w:rsidRPr="00F76D49">
        <w:rPr>
          <w:b/>
          <w:i/>
        </w:rPr>
        <w:t xml:space="preserve">The three voluntary individual </w:t>
      </w:r>
      <w:r w:rsidR="009D12C8" w:rsidRPr="00F76D49">
        <w:rPr>
          <w:b/>
          <w:i/>
        </w:rPr>
        <w:t>livestock producer</w:t>
      </w:r>
      <w:r w:rsidRPr="00F76D49">
        <w:rPr>
          <w:b/>
          <w:i/>
        </w:rPr>
        <w:t xml:space="preserve"> NDVI programs all carry very high levels of premium subsidy support and the Mexican macro-level program is 100% financed by government.</w:t>
      </w:r>
      <w:r w:rsidRPr="00F76D49">
        <w:rPr>
          <w:i/>
        </w:rPr>
        <w:t xml:space="preserve"> </w:t>
      </w:r>
      <w:r w:rsidR="00995D97" w:rsidRPr="00F76D49">
        <w:t xml:space="preserve">A feature of these NDVI programs is the high average premium rates typically about 10% or </w:t>
      </w:r>
      <w:r w:rsidR="00C51013" w:rsidRPr="00F76D49">
        <w:t>in the case of Canada, much higher (Tables 3.3 to 3.5)</w:t>
      </w:r>
      <w:r w:rsidR="00995D97" w:rsidRPr="00F76D49">
        <w:t>. In USA, Canada and Spain the individual programs attr</w:t>
      </w:r>
      <w:r w:rsidR="009D12C8" w:rsidRPr="00F76D49">
        <w:t>act very high levels of government financed premium</w:t>
      </w:r>
      <w:r w:rsidR="00995D97" w:rsidRPr="00F76D49">
        <w:t xml:space="preserve"> subsid</w:t>
      </w:r>
      <w:r w:rsidR="009D12C8" w:rsidRPr="00F76D49">
        <w:t>ies</w:t>
      </w:r>
      <w:r w:rsidR="00995D97" w:rsidRPr="00F76D49">
        <w:t xml:space="preserve"> (in the order of </w:t>
      </w:r>
      <w:r w:rsidR="00C51013" w:rsidRPr="00F76D49">
        <w:t xml:space="preserve">50% to </w:t>
      </w:r>
      <w:r w:rsidR="00995D97" w:rsidRPr="00F76D49">
        <w:t>6</w:t>
      </w:r>
      <w:r w:rsidR="00C51013" w:rsidRPr="00F76D49">
        <w:t>5</w:t>
      </w:r>
      <w:r w:rsidR="00995D97" w:rsidRPr="00F76D49">
        <w:t xml:space="preserve">% of the </w:t>
      </w:r>
      <w:r w:rsidR="009D12C8" w:rsidRPr="00F76D49">
        <w:t xml:space="preserve">cost of the full </w:t>
      </w:r>
      <w:r w:rsidR="00995D97" w:rsidRPr="00F76D49">
        <w:t>premium) and which are intended to promote the insurance covers to the livestock community. In Mexico, government finances 100% of the premium and uses the insurance cover to replace ex-post disaster relief payments.</w:t>
      </w:r>
    </w:p>
    <w:p w:rsidR="00C51013" w:rsidRDefault="00C51013" w:rsidP="00F76D49">
      <w:pPr>
        <w:pStyle w:val="Subttulo"/>
      </w:pPr>
      <w:bookmarkStart w:id="21" w:name="_Toc345794262"/>
      <w:r w:rsidRPr="00FE24C0">
        <w:t>Basis of NDVI Pasture-Index Insurance Cover</w:t>
      </w:r>
      <w:bookmarkEnd w:id="21"/>
    </w:p>
    <w:p w:rsidR="00F76D49" w:rsidRDefault="009D12C8" w:rsidP="00F76D49">
      <w:pPr>
        <w:pStyle w:val="WBReport"/>
      </w:pPr>
      <w:r w:rsidRPr="00F76D49">
        <w:rPr>
          <w:b/>
          <w:i/>
        </w:rPr>
        <w:t xml:space="preserve">The spatial resolution of the remote sensors used by these </w:t>
      </w:r>
      <w:r w:rsidR="002E7BCF" w:rsidRPr="00F76D49">
        <w:rPr>
          <w:b/>
          <w:i/>
        </w:rPr>
        <w:t xml:space="preserve">four </w:t>
      </w:r>
      <w:r w:rsidRPr="00F76D49">
        <w:rPr>
          <w:b/>
          <w:i/>
        </w:rPr>
        <w:t>NDVI pasture index insurance programs varies considerably</w:t>
      </w:r>
      <w:r w:rsidRPr="00FE24C0">
        <w:t xml:space="preserve"> </w:t>
      </w:r>
      <w:r w:rsidR="001A24FC" w:rsidRPr="00F76D49">
        <w:t>from the highest resolution in Spain where MODIS has been deployed since 2000 at a resolution of 250 meters by 250 meters (an area of 6.25 hectares) to a low resolution of 8 km x 8 km (an area of 6,400 hectares) in the USA. The frequency of NDVI recording varies by satellite and country from daily records in USA and Mexico to every dekad (10 days) in Spain. The time-series used to construct the historical NDVI average values for pasture also varies from 11 years for MODIS in Spain, up to 22 years in the case of USG-EROS in the USA (Table 3.2).</w:t>
      </w:r>
    </w:p>
    <w:p w:rsidR="00A11680" w:rsidRDefault="00A11680" w:rsidP="00F76D49">
      <w:pPr>
        <w:pStyle w:val="WBReport"/>
      </w:pPr>
      <w:r w:rsidRPr="00F76D49">
        <w:rPr>
          <w:b/>
          <w:i/>
        </w:rPr>
        <w:t>The basis of insurance and indemnity under the four NDVI programs is essentially the same.</w:t>
      </w:r>
      <w:r w:rsidRPr="00F76D49">
        <w:rPr>
          <w:i/>
        </w:rPr>
        <w:t xml:space="preserve"> </w:t>
      </w:r>
      <w:r w:rsidRPr="00F76D49">
        <w:t>The underlying principle of all four programs is to establish a historical NDVI data-base for each defined pasture resource pixels or grid and to calculate the average NDVI value for each cover period over the pasture growing season or the insurance coverage period. Insurance payouts are then made if during the insurance period the actual measured NDVI value in each pixel falls below the average historical NDVI value in that pixel. In practice, the Insured triggers are defined as a percentage or deviation from the historical average NDVI value and the threshold is set at a level to reflect the onset of pasture production losses (e.g. due to drought and or other natural or climatic perils)</w:t>
      </w:r>
      <w:r>
        <w:t>.</w:t>
      </w:r>
    </w:p>
    <w:p w:rsidR="00E2141D" w:rsidRDefault="00E2141D">
      <w:pPr>
        <w:pStyle w:val="Subttulo"/>
      </w:pPr>
    </w:p>
    <w:p w:rsidR="00E2141D" w:rsidRDefault="00E2141D"/>
    <w:p w:rsidR="00EA258F" w:rsidRPr="00FE24C0" w:rsidRDefault="00EA258F" w:rsidP="009D43A7">
      <w:pPr>
        <w:pStyle w:val="Prrafodelista"/>
        <w:ind w:left="360"/>
        <w:rPr>
          <w:rFonts w:ascii="Times New Roman" w:hAnsi="Times New Roman"/>
        </w:rPr>
        <w:sectPr w:rsidR="00EA258F" w:rsidRPr="00FE24C0" w:rsidSect="00477EBA">
          <w:type w:val="continuous"/>
          <w:pgSz w:w="12240" w:h="15840"/>
          <w:pgMar w:top="1440" w:right="1797" w:bottom="1440" w:left="1797" w:header="709" w:footer="709" w:gutter="0"/>
          <w:cols w:space="708"/>
          <w:docGrid w:linePitch="360"/>
        </w:sectPr>
      </w:pPr>
    </w:p>
    <w:p w:rsidR="003E6445" w:rsidRPr="00FE24C0" w:rsidRDefault="003E6445" w:rsidP="00D96CE8">
      <w:pPr>
        <w:pStyle w:val="HeadFiguresTablesBoxes"/>
      </w:pPr>
      <w:proofErr w:type="gramStart"/>
      <w:r w:rsidRPr="00FE24C0">
        <w:lastRenderedPageBreak/>
        <w:t xml:space="preserve">Table </w:t>
      </w:r>
      <w:r w:rsidR="00EA258F" w:rsidRPr="00FE24C0">
        <w:t>3.2.</w:t>
      </w:r>
      <w:proofErr w:type="gramEnd"/>
      <w:r w:rsidR="00EA258F" w:rsidRPr="00FE24C0">
        <w:t xml:space="preserve"> </w:t>
      </w:r>
      <w:r w:rsidRPr="00FE24C0">
        <w:t xml:space="preserve"> Summary of </w:t>
      </w:r>
      <w:r w:rsidR="00937F0B" w:rsidRPr="00FE24C0">
        <w:t>International</w:t>
      </w:r>
      <w:r w:rsidR="00EA258F" w:rsidRPr="00FE24C0">
        <w:t xml:space="preserve"> Experience with </w:t>
      </w:r>
      <w:r w:rsidRPr="00FE24C0">
        <w:t xml:space="preserve">Commercial Pasture NDVI </w:t>
      </w:r>
      <w:r w:rsidR="00EA258F" w:rsidRPr="00FE24C0">
        <w:t>I</w:t>
      </w:r>
      <w:r w:rsidRPr="00FE24C0">
        <w:t>ndex</w:t>
      </w:r>
      <w:r w:rsidR="00EA258F" w:rsidRPr="00FE24C0">
        <w:t>-</w:t>
      </w:r>
      <w:r w:rsidRPr="00FE24C0">
        <w:t xml:space="preserve">based </w:t>
      </w:r>
      <w:r w:rsidR="00EA258F" w:rsidRPr="00FE24C0">
        <w:t>I</w:t>
      </w:r>
      <w:r w:rsidRPr="00FE24C0">
        <w:t>nsurance</w:t>
      </w:r>
    </w:p>
    <w:p w:rsidR="003E6445" w:rsidRPr="00FE24C0" w:rsidRDefault="000C6233" w:rsidP="009D43A7">
      <w:pPr>
        <w:rPr>
          <w:lang w:eastAsia="es-NI"/>
        </w:rPr>
      </w:pPr>
      <w:r w:rsidRPr="00FE24C0">
        <w:rPr>
          <w:noProof/>
          <w:lang w:val="es-AR" w:eastAsia="es-AR"/>
        </w:rPr>
        <w:drawing>
          <wp:inline distT="0" distB="0" distL="0" distR="0">
            <wp:extent cx="8229600" cy="3893939"/>
            <wp:effectExtent l="19050" t="0" r="0" b="0"/>
            <wp:docPr id="6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8229600" cy="3893939"/>
                    </a:xfrm>
                    <a:prstGeom prst="rect">
                      <a:avLst/>
                    </a:prstGeom>
                    <a:noFill/>
                    <a:ln w="9525">
                      <a:noFill/>
                      <a:miter lim="800000"/>
                      <a:headEnd/>
                      <a:tailEnd/>
                    </a:ln>
                  </pic:spPr>
                </pic:pic>
              </a:graphicData>
            </a:graphic>
          </wp:inline>
        </w:drawing>
      </w:r>
    </w:p>
    <w:p w:rsidR="003E6445" w:rsidRPr="00FE24C0" w:rsidRDefault="0011444A" w:rsidP="000E35EC">
      <w:pPr>
        <w:pStyle w:val="Source"/>
      </w:pPr>
      <w:r w:rsidRPr="00FE24C0">
        <w:t>Source: Authors based on each individual Country livestock-pasture index program</w:t>
      </w:r>
      <w:r w:rsidR="009D43A7" w:rsidRPr="00FE24C0">
        <w:t>.</w:t>
      </w:r>
    </w:p>
    <w:p w:rsidR="00EA258F" w:rsidRPr="00FE24C0" w:rsidRDefault="00EA258F" w:rsidP="000E35EC">
      <w:pPr>
        <w:pStyle w:val="Source"/>
        <w:sectPr w:rsidR="00EA258F" w:rsidRPr="00FE24C0" w:rsidSect="00EA258F">
          <w:pgSz w:w="15840" w:h="12240" w:orient="landscape"/>
          <w:pgMar w:top="1797" w:right="1440" w:bottom="1797" w:left="1440" w:header="709" w:footer="709" w:gutter="0"/>
          <w:cols w:space="708"/>
          <w:docGrid w:linePitch="360"/>
        </w:sectPr>
      </w:pPr>
    </w:p>
    <w:p w:rsidR="000C6233" w:rsidRDefault="00C51013" w:rsidP="00F76D49">
      <w:pPr>
        <w:pStyle w:val="WBReport"/>
      </w:pPr>
      <w:r w:rsidRPr="00F76D49">
        <w:rPr>
          <w:b/>
          <w:i/>
        </w:rPr>
        <w:lastRenderedPageBreak/>
        <w:t xml:space="preserve">For each program a homogenous pasture </w:t>
      </w:r>
      <w:r w:rsidR="00FA002C" w:rsidRPr="00F76D49">
        <w:rPr>
          <w:b/>
          <w:i/>
        </w:rPr>
        <w:t>zone</w:t>
      </w:r>
      <w:r w:rsidRPr="00F76D49">
        <w:rPr>
          <w:b/>
          <w:i/>
        </w:rPr>
        <w:t xml:space="preserve"> is defined and this forms the Insured Unit on which basis the NDVI policy is triggered and payouts made to any livestock producer whose land holding is registered within that Insured Unit.</w:t>
      </w:r>
      <w:r w:rsidR="001A24FC" w:rsidRPr="00F76D49">
        <w:rPr>
          <w:i/>
        </w:rPr>
        <w:t xml:space="preserve"> </w:t>
      </w:r>
      <w:r w:rsidR="001A24FC" w:rsidRPr="00F76D49">
        <w:t>In the USA the individual 8 km x 8 km grid forms the Insured Unit</w:t>
      </w:r>
      <w:r w:rsidR="007C1E50" w:rsidRPr="007C1E50">
        <w:rPr>
          <w:vertAlign w:val="superscript"/>
        </w:rPr>
        <w:footnoteReference w:id="27"/>
      </w:r>
      <w:r w:rsidR="001A24FC" w:rsidRPr="00F76D49">
        <w:t>. Conversely in Spain, the policy is triggered at the level of an individual homogenous risk zone (HRZ) which is normally the Comarca or county. In Mexico, the Insured Unit is defined as a homogeneous pasture zone and which is normally aggregated to the level of the municipality for operational purposes. Finally in Canada, the Insured Unit is the Township (similar to a county).</w:t>
      </w:r>
      <w:r w:rsidR="002800E3">
        <w:t xml:space="preserve">  </w:t>
      </w:r>
    </w:p>
    <w:p w:rsidR="000C6233" w:rsidRPr="00226221" w:rsidRDefault="00C51013" w:rsidP="00226221">
      <w:pPr>
        <w:pStyle w:val="WBReport"/>
      </w:pPr>
      <w:r w:rsidRPr="00F76D49">
        <w:rPr>
          <w:b/>
          <w:i/>
        </w:rPr>
        <w:t>The basis of the sum insured and indemnity varies between the four countries but is designed to cover the additional costs livestock producers face in purchasing animal feed supplements if their pasture production fails during the cover period.</w:t>
      </w:r>
      <w:r w:rsidR="001A24FC" w:rsidRPr="00F76D49">
        <w:rPr>
          <w:i/>
        </w:rPr>
        <w:t xml:space="preserve"> </w:t>
      </w:r>
      <w:r w:rsidR="001A24FC" w:rsidRPr="00F76D49">
        <w:t xml:space="preserve">The Mexican program carries the simplest sum insured which is an agreed value basis for each head of livestock with agreed payouts according to the stage of the season when the loss is triggered. In Spain a similar valuation is established per head of insured animals and the payouts are then made according to the pre-agreed NDVI payout scales. In the USA the sum insured is established per acre of pasture or fodder and livestock producers therefore have to register the amount of acres they have in each grid and to elect the sum insured coverage level they wish to insure. In Canada the sum insured is established according to a reference yield for each type of pasture and forage grazing and an insured </w:t>
      </w:r>
      <w:r w:rsidR="007D5BAF">
        <w:t xml:space="preserve">value </w:t>
      </w:r>
      <w:r w:rsidR="001A24FC" w:rsidRPr="00F76D49">
        <w:t>for each type of pasture.</w:t>
      </w:r>
    </w:p>
    <w:p w:rsidR="000C6233" w:rsidRPr="00FE24C0" w:rsidRDefault="00C51013" w:rsidP="00226221">
      <w:pPr>
        <w:pStyle w:val="WBReport"/>
        <w:rPr>
          <w:i/>
        </w:rPr>
      </w:pPr>
      <w:r w:rsidRPr="00226221">
        <w:rPr>
          <w:b/>
          <w:i/>
        </w:rPr>
        <w:t>The NDVI insurance cover periods are defined to cover the pasture growing seasons in each country.</w:t>
      </w:r>
      <w:r w:rsidR="001A24FC" w:rsidRPr="00FE24C0">
        <w:rPr>
          <w:i/>
        </w:rPr>
        <w:t xml:space="preserve"> </w:t>
      </w:r>
      <w:r w:rsidR="001A24FC" w:rsidRPr="00FE24C0">
        <w:t>The three North American programs in Canada, USA and Mexico provide up to six month cover during the pasture growing season from April/May until October/November. In Canada, livestock producers can either elect short-season coverage from mid-May until end of July, or Long-full season coverage from mid-May until the end of August. In Spain coverage is defined by risk region (Autonomous Provinces) and in some parts of the country cover can be contracted during almost all the year and in other parts of the country with a very dry summer season (July through September), NDVI pasture cover is not available during these dry months.</w:t>
      </w:r>
      <w:r w:rsidR="001A24FC" w:rsidRPr="00FE24C0">
        <w:rPr>
          <w:i/>
        </w:rPr>
        <w:t xml:space="preserve"> </w:t>
      </w:r>
    </w:p>
    <w:p w:rsidR="000C6233" w:rsidRPr="00FE24C0" w:rsidRDefault="00C51013" w:rsidP="00226221">
      <w:pPr>
        <w:pStyle w:val="Subttulo"/>
      </w:pPr>
      <w:bookmarkStart w:id="22" w:name="_Toc345794263"/>
      <w:r w:rsidRPr="00FE24C0">
        <w:t>Performance and Results</w:t>
      </w:r>
      <w:bookmarkEnd w:id="22"/>
    </w:p>
    <w:p w:rsidR="000C6233" w:rsidRPr="00226221" w:rsidRDefault="00C51013" w:rsidP="00226221">
      <w:pPr>
        <w:pStyle w:val="WBReport"/>
        <w:rPr>
          <w:i/>
        </w:rPr>
      </w:pPr>
      <w:r w:rsidRPr="00226221">
        <w:rPr>
          <w:b/>
          <w:i/>
        </w:rPr>
        <w:t xml:space="preserve">The </w:t>
      </w:r>
      <w:r w:rsidR="00055FAA" w:rsidRPr="00226221">
        <w:rPr>
          <w:b/>
          <w:i/>
        </w:rPr>
        <w:t>four NDVI pasture index insurance programs vary considerably in their scale and coverage.</w:t>
      </w:r>
      <w:r w:rsidR="00055FAA" w:rsidRPr="00FE24C0">
        <w:rPr>
          <w:i/>
        </w:rPr>
        <w:t xml:space="preserve"> </w:t>
      </w:r>
      <w:r w:rsidR="001A24FC" w:rsidRPr="00FE24C0">
        <w:t>The Spanish and Canadian programs are both voluntary programs and demand is relatively low for NDVI cover. Over the past four years, the Spanish program has achieved an average of 4,185 policy sales per year with an average of 1.5 million head of animals insured each year which is equivalent to an average penetration rate of about 5.5% of all eligible insurable animals in Spain. In Canada, the Alberta Province pasture NDVI insurance program has achieved average annual sales of 1,220 individual policies and an average of 3.9 million head of cattle each year since inception back in 2001: there is however, evidence that the voluntary demand for this product has slowed down in recent years. Conversely in Mexico, the macro-level or state-level pasture NDVI program has expanded enormously since its introduction: in 2007 the program insured 13 million hectares of pasture in 6 states, by 2010 this had risen to 55 million Ha of pasture in 20 states. It is estimated that about two thirds of all eligible small and marginal cattle producers in Mexico are now automatically insured under the State-level pasture NDVI programs.</w:t>
      </w:r>
    </w:p>
    <w:p w:rsidR="00AB6D9F" w:rsidRDefault="00D230D2" w:rsidP="00226221">
      <w:pPr>
        <w:pStyle w:val="WBReport"/>
        <w:rPr>
          <w:i/>
        </w:rPr>
      </w:pPr>
      <w:r w:rsidRPr="00226221">
        <w:rPr>
          <w:b/>
          <w:i/>
        </w:rPr>
        <w:t xml:space="preserve">In spite of the very high average premium rates only one of the pasture NDVI index </w:t>
      </w:r>
      <w:r w:rsidRPr="00226221">
        <w:rPr>
          <w:b/>
          <w:i/>
        </w:rPr>
        <w:lastRenderedPageBreak/>
        <w:t>insurance programs is currently operating profitably.</w:t>
      </w:r>
      <w:r w:rsidR="001A24FC" w:rsidRPr="00226221">
        <w:rPr>
          <w:i/>
        </w:rPr>
        <w:t xml:space="preserve"> </w:t>
      </w:r>
      <w:r w:rsidR="001A24FC" w:rsidRPr="00226221">
        <w:t>The only NDVI program which is currently operating profitably is the Spanish NDVI program: over the period 2008 to 2011 the program has experienced an average loss ratio of 90%, but on account of high losses in the start-up years, the overall loss ratio since 2001 is running at 127%. The average premium rate on the Spanish program over the past 4 years has been 10</w:t>
      </w:r>
      <w:r w:rsidRPr="00226221">
        <w:t xml:space="preserve">.9% (Table 3.3). In Alberta Province Canada the pasture NDVI insurance program had a long term loss ratio at the end of 2009 of 117% in spite of the very high average premium rate of 19.9%: the program experienced severe drought loss payout years in 2001 and 2002 and again in 2009. In Canada the Federal and Provincial Governments </w:t>
      </w:r>
      <w:r w:rsidR="00937F0B" w:rsidRPr="00226221">
        <w:t>subsidize</w:t>
      </w:r>
      <w:r w:rsidRPr="00226221">
        <w:t xml:space="preserve"> </w:t>
      </w:r>
      <w:r w:rsidR="00356E94" w:rsidRPr="00226221">
        <w:t xml:space="preserve">about 60% of the costs of premiums and farmers contribute 40% of the cost of the insurance premiums (Table 3.4). Finally in Mexico, where the pasture NDVI program is </w:t>
      </w:r>
      <w:r w:rsidR="00937F0B" w:rsidRPr="00226221">
        <w:t>relatively</w:t>
      </w:r>
      <w:r w:rsidR="00356E94" w:rsidRPr="00226221">
        <w:t xml:space="preserve"> new the average loss ratio is running at 194% at the end of 2011 against an average premium rate of 9.5%. (Table 3.5).</w:t>
      </w:r>
      <w:r w:rsidRPr="00226221">
        <w:rPr>
          <w:i/>
        </w:rPr>
        <w:t xml:space="preserve"> </w:t>
      </w:r>
    </w:p>
    <w:p w:rsidR="00226221" w:rsidRPr="00226221" w:rsidRDefault="00226221" w:rsidP="00226221">
      <w:pPr>
        <w:pStyle w:val="Subttulo"/>
        <w:rPr>
          <w:i/>
          <w:sz w:val="22"/>
        </w:rPr>
      </w:pPr>
      <w:bookmarkStart w:id="23" w:name="_Toc345794264"/>
      <w:r w:rsidRPr="00226221">
        <w:t>Lessons for NDVI Pasture Insurance in SWBA, Argentina</w:t>
      </w:r>
      <w:bookmarkEnd w:id="23"/>
    </w:p>
    <w:p w:rsidR="00226221" w:rsidRPr="00226221" w:rsidRDefault="00226221" w:rsidP="00226221">
      <w:pPr>
        <w:pStyle w:val="WBReport"/>
        <w:rPr>
          <w:i/>
        </w:rPr>
      </w:pPr>
      <w:r w:rsidRPr="00226221">
        <w:rPr>
          <w:b/>
          <w:i/>
        </w:rPr>
        <w:t>The restrictions of the 5 km x 5 km spatial resolution of the NDVI imagery available in Argentina means that any NDVI pasture index is not able to approximate the losses incurred by individual livestock producers in their individual fields of natural pasture and grazing lands.</w:t>
      </w:r>
      <w:r w:rsidRPr="00226221">
        <w:rPr>
          <w:i/>
        </w:rPr>
        <w:t xml:space="preserve">  </w:t>
      </w:r>
      <w:r w:rsidRPr="00226221">
        <w:t>As such the technology is best suited to insuring against catastrophe losses in pasture at a zonal level caused for example by severe drought. This in turn requires the identification of homogenous risk zones (HRZ) and agreement by key stakeholders at an early stage as to whether to design a meso-level or macro-level insurance cover (as in Mexico) instead of attempting to design individual farmer NDVI-pasture insurance and possibly incurring unacceptably high levels of basis risk which would negate the purpose of the program (these issues are discussed further in Chapters 4, 5 and 6 of this report).</w:t>
      </w:r>
    </w:p>
    <w:p w:rsidR="00226221" w:rsidRPr="00226221" w:rsidRDefault="00226221" w:rsidP="00226221">
      <w:pPr>
        <w:pStyle w:val="WBReport"/>
        <w:rPr>
          <w:i/>
        </w:rPr>
      </w:pPr>
      <w:r w:rsidRPr="00226221">
        <w:rPr>
          <w:b/>
          <w:i/>
        </w:rPr>
        <w:t>The international experience with NDVI pasture index insurance clearly shows this is a catastrophe product which is exposed to drought loss payouts and that great care must be exercised in the design of the NDVI policy and in the setting of the index triggers and payout scales.</w:t>
      </w:r>
      <w:r w:rsidRPr="00226221">
        <w:rPr>
          <w:i/>
        </w:rPr>
        <w:t xml:space="preserve"> </w:t>
      </w:r>
      <w:r w:rsidRPr="00226221">
        <w:t>The results of the commercial schemes reviewed above are generally poor and demonstrate the need for careful design to ensure that premium rates do not become unsustainable either for individual livestock producers and or governments to afford. In the design of the NDVI product for SWBA Province, Argentina, the authors recommend that a maximum average commercial premium rate of 10% should be targeted and preferably less (this theme is addressed fully in Chapter 5).</w:t>
      </w:r>
    </w:p>
    <w:p w:rsidR="00C51013" w:rsidRPr="00FE24C0" w:rsidRDefault="00C51013" w:rsidP="00D96CE8">
      <w:pPr>
        <w:pStyle w:val="HeadFiguresTablesBoxes"/>
      </w:pPr>
      <w:proofErr w:type="gramStart"/>
      <w:r w:rsidRPr="00FE24C0">
        <w:t>Table 3.3.</w:t>
      </w:r>
      <w:proofErr w:type="gramEnd"/>
      <w:r w:rsidRPr="00FE24C0">
        <w:t xml:space="preserve"> Spain: Summary of Insurance Results NDVI Pasture Insurance 2001-11</w:t>
      </w:r>
    </w:p>
    <w:tbl>
      <w:tblPr>
        <w:tblW w:w="8616" w:type="dxa"/>
        <w:tblInd w:w="91" w:type="dxa"/>
        <w:tblLook w:val="04A0"/>
      </w:tblPr>
      <w:tblGrid>
        <w:gridCol w:w="1088"/>
        <w:gridCol w:w="740"/>
        <w:gridCol w:w="963"/>
        <w:gridCol w:w="880"/>
        <w:gridCol w:w="901"/>
        <w:gridCol w:w="860"/>
        <w:gridCol w:w="880"/>
        <w:gridCol w:w="856"/>
        <w:gridCol w:w="768"/>
        <w:gridCol w:w="680"/>
      </w:tblGrid>
      <w:tr w:rsidR="00C51013" w:rsidRPr="00FE24C0" w:rsidTr="00C51013">
        <w:trPr>
          <w:trHeight w:val="870"/>
        </w:trPr>
        <w:tc>
          <w:tcPr>
            <w:tcW w:w="10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Year</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of Policies</w:t>
            </w:r>
          </w:p>
        </w:tc>
        <w:tc>
          <w:tcPr>
            <w:tcW w:w="963"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xml:space="preserve">No. </w:t>
            </w:r>
            <w:r w:rsidR="00937F0B" w:rsidRPr="00FE24C0">
              <w:rPr>
                <w:rFonts w:eastAsia="Times New Roman"/>
                <w:b/>
                <w:bCs/>
                <w:color w:val="000000"/>
                <w:sz w:val="16"/>
                <w:szCs w:val="16"/>
                <w:lang w:eastAsia="en-GB"/>
              </w:rPr>
              <w:t>Insurable</w:t>
            </w:r>
            <w:r w:rsidRPr="00FE24C0">
              <w:rPr>
                <w:rFonts w:eastAsia="Times New Roman"/>
                <w:b/>
                <w:bCs/>
                <w:color w:val="000000"/>
                <w:sz w:val="16"/>
                <w:szCs w:val="16"/>
                <w:lang w:eastAsia="en-GB"/>
              </w:rPr>
              <w:t xml:space="preserve"> animals (000)</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Insured animals (000)</w:t>
            </w:r>
          </w:p>
        </w:tc>
        <w:tc>
          <w:tcPr>
            <w:tcW w:w="901"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Insurance Uptake Rate (%)</w:t>
            </w:r>
          </w:p>
        </w:tc>
        <w:tc>
          <w:tcPr>
            <w:tcW w:w="8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Sum Insured (Euro Million)</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Earned Premium (Euro Million)</w:t>
            </w:r>
          </w:p>
        </w:tc>
        <w:tc>
          <w:tcPr>
            <w:tcW w:w="856"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Average Premium Rate (%)</w:t>
            </w:r>
          </w:p>
        </w:tc>
        <w:tc>
          <w:tcPr>
            <w:tcW w:w="768"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Claims (Euro Million)</w:t>
            </w:r>
          </w:p>
        </w:tc>
        <w:tc>
          <w:tcPr>
            <w:tcW w:w="68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Loss Ratio (%)</w:t>
            </w:r>
          </w:p>
        </w:tc>
      </w:tr>
      <w:tr w:rsidR="00C51013" w:rsidRPr="00FE24C0" w:rsidTr="00C51013">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2008</w:t>
            </w:r>
          </w:p>
        </w:tc>
        <w:tc>
          <w:tcPr>
            <w:tcW w:w="74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2,949</w:t>
            </w:r>
          </w:p>
        </w:tc>
        <w:tc>
          <w:tcPr>
            <w:tcW w:w="963"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29,558</w:t>
            </w:r>
          </w:p>
        </w:tc>
        <w:tc>
          <w:tcPr>
            <w:tcW w:w="8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1,090</w:t>
            </w:r>
          </w:p>
        </w:tc>
        <w:tc>
          <w:tcPr>
            <w:tcW w:w="901"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3.69%</w:t>
            </w:r>
          </w:p>
        </w:tc>
        <w:tc>
          <w:tcPr>
            <w:tcW w:w="8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67.6</w:t>
            </w:r>
          </w:p>
        </w:tc>
        <w:tc>
          <w:tcPr>
            <w:tcW w:w="880"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10.7 </w:t>
            </w:r>
          </w:p>
        </w:tc>
        <w:tc>
          <w:tcPr>
            <w:tcW w:w="856"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15.9%</w:t>
            </w:r>
          </w:p>
        </w:tc>
        <w:tc>
          <w:tcPr>
            <w:tcW w:w="768"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4.7 </w:t>
            </w:r>
          </w:p>
        </w:tc>
        <w:tc>
          <w:tcPr>
            <w:tcW w:w="6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44%</w:t>
            </w:r>
          </w:p>
        </w:tc>
      </w:tr>
      <w:tr w:rsidR="00C51013" w:rsidRPr="00FE24C0" w:rsidTr="00C51013">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2009</w:t>
            </w:r>
          </w:p>
        </w:tc>
        <w:tc>
          <w:tcPr>
            <w:tcW w:w="74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5,369</w:t>
            </w:r>
          </w:p>
        </w:tc>
        <w:tc>
          <w:tcPr>
            <w:tcW w:w="963"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28,782</w:t>
            </w:r>
          </w:p>
        </w:tc>
        <w:tc>
          <w:tcPr>
            <w:tcW w:w="8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2,019</w:t>
            </w:r>
          </w:p>
        </w:tc>
        <w:tc>
          <w:tcPr>
            <w:tcW w:w="901"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7.02%</w:t>
            </w:r>
          </w:p>
        </w:tc>
        <w:tc>
          <w:tcPr>
            <w:tcW w:w="8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142.0</w:t>
            </w:r>
          </w:p>
        </w:tc>
        <w:tc>
          <w:tcPr>
            <w:tcW w:w="880"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8.7 </w:t>
            </w:r>
          </w:p>
        </w:tc>
        <w:tc>
          <w:tcPr>
            <w:tcW w:w="856"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6.1%</w:t>
            </w:r>
          </w:p>
        </w:tc>
        <w:tc>
          <w:tcPr>
            <w:tcW w:w="768"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19.9 </w:t>
            </w:r>
          </w:p>
        </w:tc>
        <w:tc>
          <w:tcPr>
            <w:tcW w:w="6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230%</w:t>
            </w:r>
          </w:p>
        </w:tc>
      </w:tr>
      <w:tr w:rsidR="00C51013" w:rsidRPr="00FE24C0" w:rsidTr="00C51013">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2010</w:t>
            </w:r>
          </w:p>
        </w:tc>
        <w:tc>
          <w:tcPr>
            <w:tcW w:w="74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4,437</w:t>
            </w:r>
          </w:p>
        </w:tc>
        <w:tc>
          <w:tcPr>
            <w:tcW w:w="963"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27,578</w:t>
            </w:r>
          </w:p>
        </w:tc>
        <w:tc>
          <w:tcPr>
            <w:tcW w:w="8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1,595</w:t>
            </w:r>
          </w:p>
        </w:tc>
        <w:tc>
          <w:tcPr>
            <w:tcW w:w="901"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5.79%</w:t>
            </w:r>
          </w:p>
        </w:tc>
        <w:tc>
          <w:tcPr>
            <w:tcW w:w="8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108.6</w:t>
            </w:r>
          </w:p>
        </w:tc>
        <w:tc>
          <w:tcPr>
            <w:tcW w:w="880" w:type="dxa"/>
            <w:tcBorders>
              <w:top w:val="nil"/>
              <w:left w:val="nil"/>
              <w:bottom w:val="single" w:sz="4" w:space="0" w:color="auto"/>
              <w:right w:val="single" w:sz="4" w:space="0" w:color="auto"/>
            </w:tcBorders>
            <w:shd w:val="clear" w:color="auto" w:fill="auto"/>
            <w:noWrap/>
            <w:vAlign w:val="bottom"/>
            <w:hideMark/>
          </w:tcPr>
          <w:p w:rsidR="000C6233" w:rsidRPr="00FE24C0" w:rsidRDefault="00FA002C">
            <w:pPr>
              <w:spacing w:after="0"/>
              <w:jc w:val="right"/>
              <w:rPr>
                <w:rFonts w:eastAsia="Times New Roman"/>
                <w:color w:val="000000"/>
                <w:sz w:val="16"/>
                <w:szCs w:val="16"/>
                <w:lang w:eastAsia="en-GB"/>
              </w:rPr>
            </w:pPr>
            <w:r w:rsidRPr="00FE24C0">
              <w:rPr>
                <w:rFonts w:eastAsia="Times New Roman"/>
                <w:color w:val="000000"/>
                <w:sz w:val="16"/>
                <w:szCs w:val="16"/>
                <w:lang w:eastAsia="en-GB"/>
              </w:rPr>
              <w:t>1</w:t>
            </w:r>
            <w:r w:rsidR="00C51013" w:rsidRPr="00FE24C0">
              <w:rPr>
                <w:rFonts w:eastAsia="Times New Roman"/>
                <w:color w:val="000000"/>
                <w:sz w:val="16"/>
                <w:szCs w:val="16"/>
                <w:lang w:eastAsia="en-GB"/>
              </w:rPr>
              <w:t xml:space="preserve">2.6 </w:t>
            </w:r>
          </w:p>
        </w:tc>
        <w:tc>
          <w:tcPr>
            <w:tcW w:w="856"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11.6%</w:t>
            </w:r>
          </w:p>
        </w:tc>
        <w:tc>
          <w:tcPr>
            <w:tcW w:w="768"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4.4 </w:t>
            </w:r>
          </w:p>
        </w:tc>
        <w:tc>
          <w:tcPr>
            <w:tcW w:w="6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35%</w:t>
            </w:r>
          </w:p>
        </w:tc>
      </w:tr>
      <w:tr w:rsidR="00C51013" w:rsidRPr="00FE24C0" w:rsidTr="00C51013">
        <w:trPr>
          <w:trHeight w:val="30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2011</w:t>
            </w:r>
          </w:p>
        </w:tc>
        <w:tc>
          <w:tcPr>
            <w:tcW w:w="74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3,984</w:t>
            </w:r>
          </w:p>
        </w:tc>
        <w:tc>
          <w:tcPr>
            <w:tcW w:w="963"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25,838</w:t>
            </w:r>
          </w:p>
        </w:tc>
        <w:tc>
          <w:tcPr>
            <w:tcW w:w="8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1,446</w:t>
            </w:r>
          </w:p>
        </w:tc>
        <w:tc>
          <w:tcPr>
            <w:tcW w:w="901"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5.60%</w:t>
            </w:r>
          </w:p>
        </w:tc>
        <w:tc>
          <w:tcPr>
            <w:tcW w:w="8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96.5</w:t>
            </w:r>
          </w:p>
        </w:tc>
        <w:tc>
          <w:tcPr>
            <w:tcW w:w="880"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9.8 </w:t>
            </w:r>
          </w:p>
        </w:tc>
        <w:tc>
          <w:tcPr>
            <w:tcW w:w="856"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10.1%</w:t>
            </w:r>
          </w:p>
        </w:tc>
        <w:tc>
          <w:tcPr>
            <w:tcW w:w="768"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color w:val="000000"/>
                <w:sz w:val="16"/>
                <w:szCs w:val="16"/>
                <w:lang w:eastAsia="en-GB"/>
              </w:rPr>
            </w:pPr>
            <w:r w:rsidRPr="00FE24C0">
              <w:rPr>
                <w:rFonts w:eastAsia="Times New Roman"/>
                <w:color w:val="000000"/>
                <w:sz w:val="16"/>
                <w:szCs w:val="16"/>
                <w:lang w:eastAsia="en-GB"/>
              </w:rPr>
              <w:t xml:space="preserve">8.6 </w:t>
            </w:r>
          </w:p>
        </w:tc>
        <w:tc>
          <w:tcPr>
            <w:tcW w:w="6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88%</w:t>
            </w:r>
          </w:p>
        </w:tc>
      </w:tr>
      <w:tr w:rsidR="00C51013" w:rsidRPr="00FE24C0" w:rsidTr="00FA002C">
        <w:trPr>
          <w:trHeight w:val="647"/>
        </w:trPr>
        <w:tc>
          <w:tcPr>
            <w:tcW w:w="1088" w:type="dxa"/>
            <w:tcBorders>
              <w:top w:val="nil"/>
              <w:left w:val="single" w:sz="4" w:space="0" w:color="auto"/>
              <w:bottom w:val="single" w:sz="4" w:space="0" w:color="auto"/>
              <w:right w:val="single" w:sz="4" w:space="0" w:color="auto"/>
            </w:tcBorders>
            <w:shd w:val="clear" w:color="auto" w:fill="auto"/>
            <w:vAlign w:val="bottom"/>
            <w:hideMark/>
          </w:tcPr>
          <w:p w:rsidR="00C51013" w:rsidRPr="00FE24C0" w:rsidRDefault="00FA002C" w:rsidP="00C24A15">
            <w:pPr>
              <w:spacing w:after="0"/>
              <w:jc w:val="left"/>
              <w:rPr>
                <w:rFonts w:eastAsia="Times New Roman"/>
                <w:b/>
                <w:color w:val="000000"/>
                <w:sz w:val="16"/>
                <w:szCs w:val="16"/>
                <w:lang w:eastAsia="en-GB"/>
              </w:rPr>
            </w:pPr>
            <w:r w:rsidRPr="00FE24C0">
              <w:rPr>
                <w:rFonts w:eastAsia="Times New Roman"/>
                <w:b/>
                <w:color w:val="000000"/>
                <w:sz w:val="16"/>
                <w:szCs w:val="16"/>
                <w:lang w:eastAsia="en-GB"/>
              </w:rPr>
              <w:t>T</w:t>
            </w:r>
            <w:r w:rsidR="00C51013" w:rsidRPr="00FE24C0">
              <w:rPr>
                <w:rFonts w:eastAsia="Times New Roman"/>
                <w:b/>
                <w:color w:val="000000"/>
                <w:sz w:val="16"/>
                <w:szCs w:val="16"/>
                <w:lang w:eastAsia="en-GB"/>
              </w:rPr>
              <w:t>otal accumulated 2001-2011</w:t>
            </w:r>
          </w:p>
        </w:tc>
        <w:tc>
          <w:tcPr>
            <w:tcW w:w="74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b/>
                <w:color w:val="000000"/>
                <w:sz w:val="16"/>
                <w:szCs w:val="16"/>
                <w:lang w:eastAsia="en-GB"/>
              </w:rPr>
            </w:pPr>
            <w:r w:rsidRPr="00FE24C0">
              <w:rPr>
                <w:rFonts w:eastAsia="Times New Roman"/>
                <w:b/>
                <w:color w:val="000000"/>
                <w:sz w:val="16"/>
                <w:szCs w:val="16"/>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b/>
                <w:color w:val="000000"/>
                <w:sz w:val="16"/>
                <w:szCs w:val="16"/>
                <w:lang w:eastAsia="en-GB"/>
              </w:rPr>
            </w:pPr>
            <w:r w:rsidRPr="00FE24C0">
              <w:rPr>
                <w:rFonts w:eastAsia="Times New Roman"/>
                <w:b/>
                <w:color w:val="000000"/>
                <w:sz w:val="16"/>
                <w:szCs w:val="16"/>
                <w:lang w:eastAsia="en-GB"/>
              </w:rPr>
              <w:t> </w:t>
            </w:r>
          </w:p>
        </w:tc>
        <w:tc>
          <w:tcPr>
            <w:tcW w:w="8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b/>
                <w:color w:val="000000"/>
                <w:sz w:val="16"/>
                <w:szCs w:val="16"/>
                <w:lang w:eastAsia="en-GB"/>
              </w:rPr>
            </w:pPr>
            <w:r w:rsidRPr="00FE24C0">
              <w:rPr>
                <w:rFonts w:eastAsia="Times New Roman"/>
                <w:b/>
                <w:color w:val="000000"/>
                <w:sz w:val="16"/>
                <w:szCs w:val="16"/>
                <w:lang w:eastAsia="en-GB"/>
              </w:rPr>
              <w:t> </w:t>
            </w:r>
          </w:p>
        </w:tc>
        <w:tc>
          <w:tcPr>
            <w:tcW w:w="901"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b/>
                <w:color w:val="000000"/>
                <w:sz w:val="16"/>
                <w:szCs w:val="16"/>
                <w:lang w:eastAsia="en-GB"/>
              </w:rPr>
            </w:pPr>
            <w:r w:rsidRPr="00FE24C0">
              <w:rPr>
                <w:rFonts w:eastAsia="Times New Roman"/>
                <w:b/>
                <w:color w:val="000000"/>
                <w:sz w:val="16"/>
                <w:szCs w:val="16"/>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b/>
                <w:color w:val="000000"/>
                <w:sz w:val="16"/>
                <w:szCs w:val="16"/>
                <w:lang w:eastAsia="en-GB"/>
              </w:rPr>
            </w:pPr>
            <w:r w:rsidRPr="00FE24C0">
              <w:rPr>
                <w:rFonts w:eastAsia="Times New Roman"/>
                <w:b/>
                <w:color w:val="000000"/>
                <w:sz w:val="16"/>
                <w:szCs w:val="16"/>
                <w:lang w:eastAsia="en-GB"/>
              </w:rPr>
              <w:t> </w:t>
            </w:r>
          </w:p>
        </w:tc>
        <w:tc>
          <w:tcPr>
            <w:tcW w:w="880"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 xml:space="preserve">81.6 </w:t>
            </w:r>
          </w:p>
        </w:tc>
        <w:tc>
          <w:tcPr>
            <w:tcW w:w="856"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10.9%</w:t>
            </w:r>
          </w:p>
        </w:tc>
        <w:tc>
          <w:tcPr>
            <w:tcW w:w="768" w:type="dxa"/>
            <w:tcBorders>
              <w:top w:val="nil"/>
              <w:left w:val="nil"/>
              <w:bottom w:val="single" w:sz="4" w:space="0" w:color="auto"/>
              <w:right w:val="single" w:sz="4" w:space="0" w:color="auto"/>
            </w:tcBorders>
            <w:shd w:val="clear" w:color="auto" w:fill="auto"/>
            <w:noWrap/>
            <w:vAlign w:val="bottom"/>
            <w:hideMark/>
          </w:tcPr>
          <w:p w:rsidR="000C6233" w:rsidRPr="00FE24C0" w:rsidRDefault="00C51013">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 xml:space="preserve">103.5 </w:t>
            </w:r>
          </w:p>
        </w:tc>
        <w:tc>
          <w:tcPr>
            <w:tcW w:w="68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127%</w:t>
            </w:r>
          </w:p>
        </w:tc>
      </w:tr>
    </w:tbl>
    <w:p w:rsidR="00C51013" w:rsidRPr="00FE24C0" w:rsidRDefault="00C51013" w:rsidP="000E35EC">
      <w:pPr>
        <w:pStyle w:val="Source"/>
      </w:pPr>
      <w:r w:rsidRPr="00FE24C0">
        <w:t>Source: Agroseguro Annual Reports.  www.agroseguro.es</w:t>
      </w:r>
    </w:p>
    <w:p w:rsidR="00C51013" w:rsidRPr="00FE24C0" w:rsidRDefault="00C51013" w:rsidP="00D96CE8">
      <w:pPr>
        <w:pStyle w:val="HeadFiguresTablesBoxes"/>
      </w:pPr>
      <w:proofErr w:type="gramStart"/>
      <w:r w:rsidRPr="00FE24C0">
        <w:lastRenderedPageBreak/>
        <w:t>Table 3.4.</w:t>
      </w:r>
      <w:proofErr w:type="gramEnd"/>
      <w:r w:rsidRPr="00FE24C0">
        <w:t xml:space="preserve"> Canada: Summary of Insurance Results NDVI Pasture Insurance 2001-09</w:t>
      </w:r>
    </w:p>
    <w:tbl>
      <w:tblPr>
        <w:tblW w:w="7680" w:type="dxa"/>
        <w:tblInd w:w="91" w:type="dxa"/>
        <w:tblLook w:val="04A0"/>
      </w:tblPr>
      <w:tblGrid>
        <w:gridCol w:w="960"/>
        <w:gridCol w:w="960"/>
        <w:gridCol w:w="960"/>
        <w:gridCol w:w="960"/>
        <w:gridCol w:w="960"/>
        <w:gridCol w:w="960"/>
        <w:gridCol w:w="960"/>
        <w:gridCol w:w="960"/>
      </w:tblGrid>
      <w:tr w:rsidR="00C51013" w:rsidRPr="00FE24C0" w:rsidTr="00C24A15">
        <w:trPr>
          <w:trHeight w:val="87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1013" w:rsidRPr="00FE24C0" w:rsidRDefault="00C51013" w:rsidP="00C24A15">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Year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Policies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xml:space="preserve">Insured Acres (Million)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Total Sum Insured (C$ Million)</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Total Premium (C$ Million)</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Average Premium Rate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Claims Payouts (C$)</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Loss Ratio (%)</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color w:val="000000"/>
                <w:sz w:val="16"/>
                <w:szCs w:val="16"/>
                <w:lang w:eastAsia="en-GB"/>
              </w:rPr>
            </w:pPr>
            <w:r w:rsidRPr="00FE24C0">
              <w:rPr>
                <w:rFonts w:eastAsia="Times New Roman"/>
                <w:color w:val="000000"/>
                <w:sz w:val="16"/>
                <w:szCs w:val="16"/>
                <w:lang w:eastAsia="en-GB"/>
              </w:rPr>
              <w:t>2001 (pilot)</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675</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18.7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3.4</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18.4%</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16.1</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467%</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2002</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1,989</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59.0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11.2</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19.0%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29.8</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265%</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1,980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65.7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13.6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20.7%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2004</w:t>
            </w:r>
          </w:p>
        </w:tc>
        <w:tc>
          <w:tcPr>
            <w:tcW w:w="672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Program not offered in 2004</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2005</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1,375</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35.0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8.6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24.5%</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1,047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5.4</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16.9%</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25%</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917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3.2</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33.1</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4.5</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13.4%</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118%</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2008</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924</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22.8%</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20%</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right"/>
              <w:rPr>
                <w:rFonts w:eastAsia="Times New Roman"/>
                <w:color w:val="000000"/>
                <w:sz w:val="16"/>
                <w:szCs w:val="16"/>
                <w:lang w:eastAsia="en-GB"/>
              </w:rPr>
            </w:pPr>
            <w:r w:rsidRPr="00FE24C0">
              <w:rPr>
                <w:rFonts w:eastAsia="Times New Roman"/>
                <w:color w:val="000000"/>
                <w:sz w:val="16"/>
                <w:szCs w:val="16"/>
                <w:lang w:eastAsia="en-GB"/>
              </w:rPr>
              <w:t>2009</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849</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23.4</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5.6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24.0%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13.7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color w:val="000000"/>
                <w:sz w:val="16"/>
                <w:szCs w:val="16"/>
                <w:lang w:eastAsia="en-GB"/>
              </w:rPr>
            </w:pPr>
            <w:r w:rsidRPr="00FE24C0">
              <w:rPr>
                <w:rFonts w:eastAsia="Times New Roman"/>
                <w:color w:val="000000"/>
                <w:sz w:val="16"/>
                <w:szCs w:val="16"/>
                <w:lang w:eastAsia="en-GB"/>
              </w:rPr>
              <w:t>244%</w:t>
            </w:r>
          </w:p>
        </w:tc>
      </w:tr>
      <w:tr w:rsidR="00C51013" w:rsidRPr="00FE24C0" w:rsidTr="00C24A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1013" w:rsidRPr="00FE24C0" w:rsidRDefault="00C51013" w:rsidP="00C24A15">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9,756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31.0</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290.3</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57.6</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19.9%</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67.7</w:t>
            </w:r>
          </w:p>
        </w:tc>
        <w:tc>
          <w:tcPr>
            <w:tcW w:w="960" w:type="dxa"/>
            <w:tcBorders>
              <w:top w:val="nil"/>
              <w:left w:val="nil"/>
              <w:bottom w:val="single" w:sz="4" w:space="0" w:color="auto"/>
              <w:right w:val="single" w:sz="4" w:space="0" w:color="auto"/>
            </w:tcBorders>
            <w:shd w:val="clear" w:color="auto" w:fill="auto"/>
            <w:noWrap/>
            <w:vAlign w:val="bottom"/>
            <w:hideMark/>
          </w:tcPr>
          <w:p w:rsidR="00C51013" w:rsidRPr="00FE24C0" w:rsidRDefault="00C51013" w:rsidP="00C24A15">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117%</w:t>
            </w:r>
          </w:p>
        </w:tc>
      </w:tr>
    </w:tbl>
    <w:p w:rsidR="00C51013" w:rsidRPr="00FE24C0" w:rsidRDefault="00C51013" w:rsidP="000E35EC">
      <w:pPr>
        <w:pStyle w:val="Source"/>
      </w:pPr>
      <w:r w:rsidRPr="00FE24C0">
        <w:t>Source: AFSC 2010 and AFC Annual Reports www.afsc.ca</w:t>
      </w:r>
    </w:p>
    <w:p w:rsidR="00C51013" w:rsidRPr="00FE24C0" w:rsidRDefault="00C51013" w:rsidP="00D96CE8">
      <w:pPr>
        <w:pStyle w:val="HeadFiguresTablesBoxes"/>
      </w:pPr>
      <w:proofErr w:type="gramStart"/>
      <w:r w:rsidRPr="00FE24C0">
        <w:t>Table 3.5.</w:t>
      </w:r>
      <w:proofErr w:type="gramEnd"/>
      <w:r w:rsidRPr="00FE24C0">
        <w:t xml:space="preserve"> Mexico: Summary of Insurance Results NDVI Pasture Insurance 2007-11</w:t>
      </w:r>
    </w:p>
    <w:tbl>
      <w:tblPr>
        <w:tblW w:w="9271" w:type="dxa"/>
        <w:tblInd w:w="91" w:type="dxa"/>
        <w:tblLayout w:type="fixed"/>
        <w:tblLook w:val="04A0"/>
      </w:tblPr>
      <w:tblGrid>
        <w:gridCol w:w="580"/>
        <w:gridCol w:w="740"/>
        <w:gridCol w:w="768"/>
        <w:gridCol w:w="1048"/>
        <w:gridCol w:w="992"/>
        <w:gridCol w:w="992"/>
        <w:gridCol w:w="931"/>
        <w:gridCol w:w="800"/>
        <w:gridCol w:w="840"/>
        <w:gridCol w:w="900"/>
        <w:gridCol w:w="680"/>
      </w:tblGrid>
      <w:tr w:rsidR="00AB6D9F" w:rsidRPr="00FE24C0" w:rsidTr="008D73E2">
        <w:trPr>
          <w:trHeight w:val="870"/>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6D9F" w:rsidRPr="00FE24C0" w:rsidRDefault="00AB6D9F" w:rsidP="00AB6D9F">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Year</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States</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Insured Area (Ha Million)</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insured animals</w:t>
            </w:r>
            <w:r w:rsidR="008D73E2">
              <w:rPr>
                <w:rFonts w:eastAsia="Times New Roman"/>
                <w:b/>
                <w:bCs/>
                <w:color w:val="000000"/>
                <w:sz w:val="16"/>
                <w:szCs w:val="16"/>
                <w:lang w:eastAsia="en-GB"/>
              </w:rPr>
              <w:t xml:space="preserve"> (Million)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Total Sum Insured (MXN Million)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Total Premium (MXN Million)</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Average Premium Rate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xml:space="preserve">Claims: No animals </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Claims: % Insured Animals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Claims: Value (MXN Million)</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AB6D9F" w:rsidRPr="00FE24C0" w:rsidRDefault="00AB6D9F" w:rsidP="00AB6D9F">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Loss Ratio (%)</w:t>
            </w:r>
          </w:p>
        </w:tc>
      </w:tr>
      <w:tr w:rsidR="00AB6D9F" w:rsidRPr="00FE24C0" w:rsidTr="008D73E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2007</w:t>
            </w:r>
          </w:p>
        </w:tc>
        <w:tc>
          <w:tcPr>
            <w:tcW w:w="7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6</w:t>
            </w:r>
          </w:p>
        </w:tc>
        <w:tc>
          <w:tcPr>
            <w:tcW w:w="768" w:type="dxa"/>
            <w:tcBorders>
              <w:top w:val="nil"/>
              <w:left w:val="nil"/>
              <w:bottom w:val="single" w:sz="4" w:space="0" w:color="auto"/>
              <w:right w:val="single" w:sz="4" w:space="0" w:color="auto"/>
            </w:tcBorders>
            <w:shd w:val="clear" w:color="auto" w:fill="auto"/>
            <w:noWrap/>
            <w:vAlign w:val="center"/>
            <w:hideMark/>
          </w:tcPr>
          <w:p w:rsidR="00AB6D9F" w:rsidRPr="00FE24C0" w:rsidRDefault="00AB6D9F" w:rsidP="00AB6D9F">
            <w:pPr>
              <w:spacing w:after="0"/>
              <w:jc w:val="center"/>
              <w:rPr>
                <w:rFonts w:eastAsia="Times New Roman"/>
                <w:color w:val="000000"/>
                <w:sz w:val="16"/>
                <w:szCs w:val="16"/>
                <w:lang w:eastAsia="en-GB"/>
              </w:rPr>
            </w:pPr>
            <w:r w:rsidRPr="00FE24C0">
              <w:rPr>
                <w:rFonts w:eastAsia="Times New Roman"/>
                <w:color w:val="000000"/>
                <w:sz w:val="16"/>
                <w:szCs w:val="16"/>
                <w:lang w:eastAsia="en-GB"/>
              </w:rPr>
              <w:t>13.0</w:t>
            </w:r>
          </w:p>
        </w:tc>
        <w:tc>
          <w:tcPr>
            <w:tcW w:w="104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0.93</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247</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w:t>
            </w:r>
          </w:p>
        </w:tc>
        <w:tc>
          <w:tcPr>
            <w:tcW w:w="931"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8.0%</w:t>
            </w:r>
          </w:p>
        </w:tc>
        <w:tc>
          <w:tcPr>
            <w:tcW w:w="8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0.20</w:t>
            </w:r>
          </w:p>
        </w:tc>
        <w:tc>
          <w:tcPr>
            <w:tcW w:w="8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21.4%</w:t>
            </w:r>
          </w:p>
        </w:tc>
        <w:tc>
          <w:tcPr>
            <w:tcW w:w="9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3.1</w:t>
            </w:r>
          </w:p>
        </w:tc>
        <w:tc>
          <w:tcPr>
            <w:tcW w:w="68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15%</w:t>
            </w:r>
          </w:p>
        </w:tc>
      </w:tr>
      <w:tr w:rsidR="00AB6D9F" w:rsidRPr="00FE24C0" w:rsidTr="008D73E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2008</w:t>
            </w:r>
          </w:p>
        </w:tc>
        <w:tc>
          <w:tcPr>
            <w:tcW w:w="7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19</w:t>
            </w:r>
          </w:p>
        </w:tc>
        <w:tc>
          <w:tcPr>
            <w:tcW w:w="768" w:type="dxa"/>
            <w:tcBorders>
              <w:top w:val="nil"/>
              <w:left w:val="nil"/>
              <w:bottom w:val="single" w:sz="4" w:space="0" w:color="auto"/>
              <w:right w:val="single" w:sz="4" w:space="0" w:color="auto"/>
            </w:tcBorders>
            <w:shd w:val="clear" w:color="auto" w:fill="auto"/>
            <w:noWrap/>
            <w:vAlign w:val="center"/>
            <w:hideMark/>
          </w:tcPr>
          <w:p w:rsidR="00AB6D9F" w:rsidRPr="00FE24C0" w:rsidRDefault="00AB6D9F" w:rsidP="00AB6D9F">
            <w:pPr>
              <w:spacing w:after="0"/>
              <w:jc w:val="center"/>
              <w:rPr>
                <w:rFonts w:eastAsia="Times New Roman"/>
                <w:color w:val="000000"/>
                <w:sz w:val="16"/>
                <w:szCs w:val="16"/>
                <w:lang w:eastAsia="en-GB"/>
              </w:rPr>
            </w:pPr>
            <w:r w:rsidRPr="00FE24C0">
              <w:rPr>
                <w:rFonts w:eastAsia="Times New Roman"/>
                <w:color w:val="000000"/>
                <w:sz w:val="16"/>
                <w:szCs w:val="16"/>
                <w:lang w:eastAsia="en-GB"/>
              </w:rPr>
              <w:t>58.8</w:t>
            </w:r>
          </w:p>
        </w:tc>
        <w:tc>
          <w:tcPr>
            <w:tcW w:w="104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2.92</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984</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69</w:t>
            </w:r>
          </w:p>
        </w:tc>
        <w:tc>
          <w:tcPr>
            <w:tcW w:w="931"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7.0%</w:t>
            </w:r>
          </w:p>
        </w:tc>
        <w:tc>
          <w:tcPr>
            <w:tcW w:w="8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0.12</w:t>
            </w:r>
          </w:p>
        </w:tc>
        <w:tc>
          <w:tcPr>
            <w:tcW w:w="8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4.2%</w:t>
            </w:r>
          </w:p>
        </w:tc>
        <w:tc>
          <w:tcPr>
            <w:tcW w:w="9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39.7</w:t>
            </w:r>
          </w:p>
        </w:tc>
        <w:tc>
          <w:tcPr>
            <w:tcW w:w="68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58%</w:t>
            </w:r>
          </w:p>
        </w:tc>
      </w:tr>
      <w:tr w:rsidR="00AB6D9F" w:rsidRPr="00FE24C0" w:rsidTr="008D73E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2009</w:t>
            </w:r>
          </w:p>
        </w:tc>
        <w:tc>
          <w:tcPr>
            <w:tcW w:w="7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18</w:t>
            </w:r>
          </w:p>
        </w:tc>
        <w:tc>
          <w:tcPr>
            <w:tcW w:w="768" w:type="dxa"/>
            <w:tcBorders>
              <w:top w:val="nil"/>
              <w:left w:val="nil"/>
              <w:bottom w:val="single" w:sz="4" w:space="0" w:color="auto"/>
              <w:right w:val="single" w:sz="4" w:space="0" w:color="auto"/>
            </w:tcBorders>
            <w:shd w:val="clear" w:color="auto" w:fill="auto"/>
            <w:noWrap/>
            <w:vAlign w:val="center"/>
            <w:hideMark/>
          </w:tcPr>
          <w:p w:rsidR="00AB6D9F" w:rsidRPr="00FE24C0" w:rsidRDefault="00AB6D9F" w:rsidP="00AB6D9F">
            <w:pPr>
              <w:spacing w:after="0"/>
              <w:jc w:val="center"/>
              <w:rPr>
                <w:rFonts w:eastAsia="Times New Roman"/>
                <w:color w:val="000000"/>
                <w:sz w:val="16"/>
                <w:szCs w:val="16"/>
                <w:lang w:eastAsia="en-GB"/>
              </w:rPr>
            </w:pPr>
            <w:r w:rsidRPr="00FE24C0">
              <w:rPr>
                <w:rFonts w:eastAsia="Times New Roman"/>
                <w:color w:val="000000"/>
                <w:sz w:val="16"/>
                <w:szCs w:val="16"/>
                <w:lang w:eastAsia="en-GB"/>
              </w:rPr>
              <w:t>54.6</w:t>
            </w:r>
          </w:p>
        </w:tc>
        <w:tc>
          <w:tcPr>
            <w:tcW w:w="104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3.50</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1,163</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135</w:t>
            </w:r>
          </w:p>
        </w:tc>
        <w:tc>
          <w:tcPr>
            <w:tcW w:w="931"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11.6%</w:t>
            </w:r>
          </w:p>
        </w:tc>
        <w:tc>
          <w:tcPr>
            <w:tcW w:w="8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1.65</w:t>
            </w:r>
          </w:p>
        </w:tc>
        <w:tc>
          <w:tcPr>
            <w:tcW w:w="8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47.2%</w:t>
            </w:r>
          </w:p>
        </w:tc>
        <w:tc>
          <w:tcPr>
            <w:tcW w:w="9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374.2</w:t>
            </w:r>
          </w:p>
        </w:tc>
        <w:tc>
          <w:tcPr>
            <w:tcW w:w="68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276%</w:t>
            </w:r>
          </w:p>
        </w:tc>
      </w:tr>
      <w:tr w:rsidR="00AB6D9F" w:rsidRPr="00FE24C0" w:rsidTr="008D73E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2010</w:t>
            </w:r>
          </w:p>
        </w:tc>
        <w:tc>
          <w:tcPr>
            <w:tcW w:w="7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w:t>
            </w:r>
          </w:p>
        </w:tc>
        <w:tc>
          <w:tcPr>
            <w:tcW w:w="768" w:type="dxa"/>
            <w:tcBorders>
              <w:top w:val="nil"/>
              <w:left w:val="nil"/>
              <w:bottom w:val="single" w:sz="4" w:space="0" w:color="auto"/>
              <w:right w:val="single" w:sz="4" w:space="0" w:color="auto"/>
            </w:tcBorders>
            <w:shd w:val="clear" w:color="auto" w:fill="auto"/>
            <w:noWrap/>
            <w:vAlign w:val="center"/>
            <w:hideMark/>
          </w:tcPr>
          <w:p w:rsidR="00AB6D9F" w:rsidRPr="00FE24C0" w:rsidRDefault="00AB6D9F" w:rsidP="00AB6D9F">
            <w:pPr>
              <w:spacing w:after="0"/>
              <w:jc w:val="center"/>
              <w:rPr>
                <w:rFonts w:eastAsia="Times New Roman"/>
                <w:color w:val="000000"/>
                <w:sz w:val="16"/>
                <w:szCs w:val="16"/>
                <w:lang w:eastAsia="en-GB"/>
              </w:rPr>
            </w:pPr>
            <w:r w:rsidRPr="00FE24C0">
              <w:rPr>
                <w:rFonts w:eastAsia="Times New Roman"/>
                <w:color w:val="000000"/>
                <w:sz w:val="16"/>
                <w:szCs w:val="16"/>
                <w:lang w:eastAsia="en-GB"/>
              </w:rPr>
              <w:t>54.6</w:t>
            </w:r>
          </w:p>
        </w:tc>
        <w:tc>
          <w:tcPr>
            <w:tcW w:w="104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3.81</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1,394</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159</w:t>
            </w:r>
          </w:p>
        </w:tc>
        <w:tc>
          <w:tcPr>
            <w:tcW w:w="931"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11.4%</w:t>
            </w:r>
          </w:p>
        </w:tc>
        <w:tc>
          <w:tcPr>
            <w:tcW w:w="8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0.16</w:t>
            </w:r>
          </w:p>
        </w:tc>
        <w:tc>
          <w:tcPr>
            <w:tcW w:w="8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4.1%</w:t>
            </w:r>
          </w:p>
        </w:tc>
        <w:tc>
          <w:tcPr>
            <w:tcW w:w="9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21.7</w:t>
            </w:r>
          </w:p>
        </w:tc>
        <w:tc>
          <w:tcPr>
            <w:tcW w:w="68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14%</w:t>
            </w:r>
          </w:p>
        </w:tc>
      </w:tr>
      <w:tr w:rsidR="00AB6D9F" w:rsidRPr="00FE24C0" w:rsidTr="008D73E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2011</w:t>
            </w:r>
          </w:p>
        </w:tc>
        <w:tc>
          <w:tcPr>
            <w:tcW w:w="7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21</w:t>
            </w:r>
          </w:p>
        </w:tc>
        <w:tc>
          <w:tcPr>
            <w:tcW w:w="768" w:type="dxa"/>
            <w:tcBorders>
              <w:top w:val="nil"/>
              <w:left w:val="nil"/>
              <w:bottom w:val="single" w:sz="4" w:space="0" w:color="auto"/>
              <w:right w:val="single" w:sz="4" w:space="0" w:color="auto"/>
            </w:tcBorders>
            <w:shd w:val="clear" w:color="auto" w:fill="auto"/>
            <w:noWrap/>
            <w:vAlign w:val="center"/>
            <w:hideMark/>
          </w:tcPr>
          <w:p w:rsidR="00AB6D9F" w:rsidRPr="00FE24C0" w:rsidRDefault="00AB6D9F" w:rsidP="00AB6D9F">
            <w:pPr>
              <w:spacing w:after="0"/>
              <w:jc w:val="center"/>
              <w:rPr>
                <w:rFonts w:eastAsia="Times New Roman"/>
                <w:color w:val="000000"/>
                <w:sz w:val="16"/>
                <w:szCs w:val="16"/>
                <w:lang w:eastAsia="en-GB"/>
              </w:rPr>
            </w:pPr>
            <w:r w:rsidRPr="00FE24C0">
              <w:rPr>
                <w:rFonts w:eastAsia="Times New Roman"/>
                <w:color w:val="000000"/>
                <w:sz w:val="16"/>
                <w:szCs w:val="16"/>
                <w:lang w:eastAsia="en-GB"/>
              </w:rPr>
              <w:t>n.a.</w:t>
            </w:r>
          </w:p>
        </w:tc>
        <w:tc>
          <w:tcPr>
            <w:tcW w:w="104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3.88</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1,964</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165</w:t>
            </w:r>
          </w:p>
        </w:tc>
        <w:tc>
          <w:tcPr>
            <w:tcW w:w="931"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8.4%</w:t>
            </w:r>
          </w:p>
        </w:tc>
        <w:tc>
          <w:tcPr>
            <w:tcW w:w="8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1.97</w:t>
            </w:r>
          </w:p>
        </w:tc>
        <w:tc>
          <w:tcPr>
            <w:tcW w:w="8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50.8%</w:t>
            </w:r>
          </w:p>
        </w:tc>
        <w:tc>
          <w:tcPr>
            <w:tcW w:w="9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625.0</w:t>
            </w:r>
          </w:p>
        </w:tc>
        <w:tc>
          <w:tcPr>
            <w:tcW w:w="68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378%</w:t>
            </w:r>
          </w:p>
        </w:tc>
      </w:tr>
      <w:tr w:rsidR="00AB6D9F" w:rsidRPr="00FE24C0" w:rsidTr="008D73E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6D9F" w:rsidRPr="00FE24C0" w:rsidRDefault="00AB6D9F" w:rsidP="00AB6D9F">
            <w:pPr>
              <w:spacing w:after="0"/>
              <w:jc w:val="left"/>
              <w:rPr>
                <w:rFonts w:eastAsia="Times New Roman"/>
                <w:color w:val="000000"/>
                <w:sz w:val="16"/>
                <w:szCs w:val="16"/>
                <w:lang w:eastAsia="en-GB"/>
              </w:rPr>
            </w:pPr>
            <w:r w:rsidRPr="00FE24C0">
              <w:rPr>
                <w:rFonts w:eastAsia="Times New Roman"/>
                <w:color w:val="000000"/>
                <w:sz w:val="16"/>
                <w:szCs w:val="16"/>
                <w:lang w:eastAsia="en-GB"/>
              </w:rPr>
              <w:t>Total</w:t>
            </w:r>
          </w:p>
        </w:tc>
        <w:tc>
          <w:tcPr>
            <w:tcW w:w="7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left"/>
              <w:rPr>
                <w:rFonts w:eastAsia="Times New Roman"/>
                <w:color w:val="000000"/>
                <w:sz w:val="16"/>
                <w:szCs w:val="16"/>
                <w:lang w:eastAsia="en-GB"/>
              </w:rPr>
            </w:pPr>
            <w:r w:rsidRPr="00FE24C0">
              <w:rPr>
                <w:rFonts w:eastAsia="Times New Roman"/>
                <w:color w:val="000000"/>
                <w:sz w:val="16"/>
                <w:szCs w:val="16"/>
                <w:lang w:eastAsia="en-GB"/>
              </w:rPr>
              <w:t> </w:t>
            </w:r>
          </w:p>
        </w:tc>
        <w:tc>
          <w:tcPr>
            <w:tcW w:w="76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left"/>
              <w:rPr>
                <w:rFonts w:eastAsia="Times New Roman"/>
                <w:color w:val="000000"/>
                <w:sz w:val="16"/>
                <w:szCs w:val="16"/>
                <w:lang w:eastAsia="en-GB"/>
              </w:rPr>
            </w:pPr>
            <w:r w:rsidRPr="00FE24C0">
              <w:rPr>
                <w:rFonts w:eastAsia="Times New Roman"/>
                <w:color w:val="000000"/>
                <w:sz w:val="16"/>
                <w:szCs w:val="16"/>
                <w:lang w:eastAsia="en-GB"/>
              </w:rPr>
              <w:t> </w:t>
            </w:r>
          </w:p>
        </w:tc>
        <w:tc>
          <w:tcPr>
            <w:tcW w:w="1048"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15.04</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5,752</w:t>
            </w:r>
          </w:p>
        </w:tc>
        <w:tc>
          <w:tcPr>
            <w:tcW w:w="992"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549</w:t>
            </w:r>
          </w:p>
        </w:tc>
        <w:tc>
          <w:tcPr>
            <w:tcW w:w="931"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9.5%</w:t>
            </w:r>
          </w:p>
        </w:tc>
        <w:tc>
          <w:tcPr>
            <w:tcW w:w="8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4.10</w:t>
            </w:r>
          </w:p>
        </w:tc>
        <w:tc>
          <w:tcPr>
            <w:tcW w:w="84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27.3%</w:t>
            </w:r>
          </w:p>
        </w:tc>
        <w:tc>
          <w:tcPr>
            <w:tcW w:w="90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1,063.6</w:t>
            </w:r>
          </w:p>
        </w:tc>
        <w:tc>
          <w:tcPr>
            <w:tcW w:w="680" w:type="dxa"/>
            <w:tcBorders>
              <w:top w:val="nil"/>
              <w:left w:val="nil"/>
              <w:bottom w:val="single" w:sz="4" w:space="0" w:color="auto"/>
              <w:right w:val="single" w:sz="4" w:space="0" w:color="auto"/>
            </w:tcBorders>
            <w:shd w:val="clear" w:color="auto" w:fill="auto"/>
            <w:noWrap/>
            <w:vAlign w:val="bottom"/>
            <w:hideMark/>
          </w:tcPr>
          <w:p w:rsidR="00AB6D9F" w:rsidRPr="00FE24C0" w:rsidRDefault="00AB6D9F" w:rsidP="00AB6D9F">
            <w:pPr>
              <w:spacing w:after="0"/>
              <w:jc w:val="right"/>
              <w:rPr>
                <w:rFonts w:eastAsia="Times New Roman"/>
                <w:color w:val="000000"/>
                <w:sz w:val="16"/>
                <w:szCs w:val="16"/>
                <w:lang w:eastAsia="en-GB"/>
              </w:rPr>
            </w:pPr>
            <w:r w:rsidRPr="00FE24C0">
              <w:rPr>
                <w:rFonts w:eastAsia="Times New Roman"/>
                <w:color w:val="000000"/>
                <w:sz w:val="16"/>
                <w:szCs w:val="16"/>
                <w:lang w:eastAsia="en-GB"/>
              </w:rPr>
              <w:t>194%</w:t>
            </w:r>
          </w:p>
        </w:tc>
      </w:tr>
    </w:tbl>
    <w:p w:rsidR="00C51013" w:rsidRPr="00FE24C0" w:rsidRDefault="00C51013" w:rsidP="000E35EC">
      <w:pPr>
        <w:pStyle w:val="Source"/>
      </w:pPr>
      <w:r w:rsidRPr="00FE24C0">
        <w:t xml:space="preserve">Source: </w:t>
      </w:r>
      <w:r w:rsidR="00AB6D9F" w:rsidRPr="00FE24C0">
        <w:t xml:space="preserve">Agroasemex 2010; </w:t>
      </w:r>
      <w:r w:rsidRPr="00FE24C0">
        <w:t>SAGARPA 2012</w:t>
      </w:r>
    </w:p>
    <w:p w:rsidR="00584DC3" w:rsidRPr="00FE24C0" w:rsidRDefault="00584DC3" w:rsidP="00C46C95">
      <w:pPr>
        <w:rPr>
          <w:lang w:eastAsia="es-NI"/>
        </w:rPr>
      </w:pPr>
      <w:r w:rsidRPr="00FE24C0">
        <w:rPr>
          <w:lang w:eastAsia="es-NI"/>
        </w:rPr>
        <w:br w:type="page"/>
      </w:r>
    </w:p>
    <w:p w:rsidR="00E7647C" w:rsidRPr="00FE24C0" w:rsidRDefault="0071211F" w:rsidP="00D830D0">
      <w:pPr>
        <w:pStyle w:val="Ttulo1"/>
        <w:rPr>
          <w:rFonts w:cs="Times New Roman"/>
        </w:rPr>
      </w:pPr>
      <w:bookmarkStart w:id="24" w:name="_Toc332274323"/>
      <w:bookmarkStart w:id="25" w:name="_Toc345794265"/>
      <w:r w:rsidRPr="00FE24C0">
        <w:rPr>
          <w:rFonts w:cs="Times New Roman"/>
        </w:rPr>
        <w:lastRenderedPageBreak/>
        <w:t>NDVI</w:t>
      </w:r>
      <w:r w:rsidR="004D57FD" w:rsidRPr="00FE24C0">
        <w:rPr>
          <w:rFonts w:cs="Times New Roman"/>
        </w:rPr>
        <w:t>-Pasture</w:t>
      </w:r>
      <w:r w:rsidRPr="00FE24C0">
        <w:rPr>
          <w:rFonts w:cs="Times New Roman"/>
        </w:rPr>
        <w:t xml:space="preserve"> Insurance </w:t>
      </w:r>
      <w:r w:rsidR="0052059F" w:rsidRPr="00FE24C0">
        <w:rPr>
          <w:rFonts w:cs="Times New Roman"/>
        </w:rPr>
        <w:t>Database Development</w:t>
      </w:r>
      <w:bookmarkEnd w:id="24"/>
      <w:r w:rsidR="00F836CB" w:rsidRPr="00FE24C0">
        <w:rPr>
          <w:rFonts w:cs="Times New Roman"/>
        </w:rPr>
        <w:t xml:space="preserve"> in SWBA</w:t>
      </w:r>
      <w:bookmarkEnd w:id="25"/>
    </w:p>
    <w:p w:rsidR="007B1F19" w:rsidRPr="00FE24C0" w:rsidRDefault="007B1F19" w:rsidP="00226221">
      <w:pPr>
        <w:pStyle w:val="Subttulo"/>
        <w:rPr>
          <w:lang w:eastAsia="es-NI"/>
        </w:rPr>
      </w:pPr>
      <w:bookmarkStart w:id="26" w:name="_Toc332274324"/>
      <w:bookmarkStart w:id="27" w:name="_Toc345794266"/>
      <w:r w:rsidRPr="00FE24C0">
        <w:rPr>
          <w:lang w:eastAsia="es-NI"/>
        </w:rPr>
        <w:t>Features of the NDVI Information and Data Analysis for South West of Buenos Aires</w:t>
      </w:r>
      <w:bookmarkEnd w:id="26"/>
      <w:bookmarkEnd w:id="27"/>
    </w:p>
    <w:p w:rsidR="000C6233" w:rsidRDefault="001A24FC" w:rsidP="003A7967">
      <w:pPr>
        <w:pStyle w:val="WBReport"/>
        <w:rPr>
          <w:lang w:eastAsia="en-US"/>
        </w:rPr>
      </w:pPr>
      <w:r w:rsidRPr="003A7967">
        <w:rPr>
          <w:b/>
          <w:i/>
        </w:rPr>
        <w:t>In Argentina the Remote Sensing and Regional Analysis Laboratory of the Faculty of Agronomy, University of Buenos Aires (LART-FAUBA) is a recognized specialist in the analysis and interpretation of remote sensing data</w:t>
      </w:r>
      <w:r w:rsidR="00F836CB" w:rsidRPr="003A7967">
        <w:t xml:space="preserve"> </w:t>
      </w:r>
      <w:r w:rsidRPr="003A7967">
        <w:t>relating to natural resources and agricultural land use and the environment. Starting in 2008, ORA-MAGyP contracted LART-FAUBA to develop an NDVI data-base for selected provinces and regions of Argentina for the purposes of monitoring vegetation status and as a precursor for the feasibility study into the applications of NDVI to pasture insurance in SWBA.</w:t>
      </w:r>
    </w:p>
    <w:p w:rsidR="000C6233" w:rsidRDefault="007B1F19" w:rsidP="003A7967">
      <w:pPr>
        <w:pStyle w:val="WBReport"/>
        <w:rPr>
          <w:lang w:eastAsia="en-US"/>
        </w:rPr>
      </w:pPr>
      <w:r w:rsidRPr="003A7967">
        <w:rPr>
          <w:b/>
          <w:i/>
          <w:lang w:eastAsia="es-NI"/>
        </w:rPr>
        <w:t>LART-FAUBA has developed an NDVI database for the SWBA Province</w:t>
      </w:r>
      <w:r w:rsidR="001A24FC" w:rsidRPr="003A7967">
        <w:rPr>
          <w:b/>
          <w:lang w:eastAsia="es-NI"/>
        </w:rPr>
        <w:t>.</w:t>
      </w:r>
      <w:r w:rsidR="001A24FC" w:rsidRPr="00FE24C0">
        <w:rPr>
          <w:lang w:eastAsia="es-NI"/>
        </w:rPr>
        <w:t xml:space="preserve"> </w:t>
      </w:r>
      <w:r w:rsidR="001A24FC" w:rsidRPr="003A7967">
        <w:rPr>
          <w:lang w:eastAsia="es-NI"/>
        </w:rPr>
        <w:t xml:space="preserve">In Argentina LART-FAUBA has generated a long-term remote sensing data-base (28 years of data from 1982 to 2009, with a monthly temporal resolution) of NDVI and digitized pasture maps at a spatial resolution or scale of 5 Km x 5 Km for the 12 </w:t>
      </w:r>
      <w:r w:rsidR="00865CC5">
        <w:rPr>
          <w:lang w:eastAsia="es-NI"/>
        </w:rPr>
        <w:t>Departments</w:t>
      </w:r>
      <w:r w:rsidR="001A24FC" w:rsidRPr="003A7967">
        <w:rPr>
          <w:lang w:eastAsia="es-NI"/>
        </w:rPr>
        <w:t xml:space="preserve"> of SWBA. The generation of this NDVI database has been obtained by combining NOAA imagery from 1981 to 1999 at a resolution of 5 Km x 5 Km (2,500 ha) and MODIS imagery from 2000 to 2009 at a resolution of 250 meters x 250 meters (6.25 Ha).  Figure 4.1 presents a synoptic representation of the procedures followed for the development of the NDVI database. The final database contains 28 years of monthly average NDVI values for a total of 3,006 5 km x 5km pixels (also known as grids).  Further details of the methodology employed by LART-FAUBA are presented in Annex 1.</w:t>
      </w:r>
    </w:p>
    <w:p w:rsidR="007B1F19" w:rsidRPr="00FE24C0" w:rsidRDefault="00C2573B" w:rsidP="00D96CE8">
      <w:pPr>
        <w:pStyle w:val="HeadFiguresTablesBoxes"/>
      </w:pPr>
      <w:proofErr w:type="gramStart"/>
      <w:r w:rsidRPr="00FE24C0">
        <w:t>Figure</w:t>
      </w:r>
      <w:r w:rsidR="007B1F19" w:rsidRPr="00FE24C0">
        <w:t xml:space="preserve"> </w:t>
      </w:r>
      <w:r w:rsidR="00F72A8A" w:rsidRPr="00FE24C0">
        <w:t>4.</w:t>
      </w:r>
      <w:proofErr w:type="gramEnd"/>
      <w:r w:rsidR="003F5785" w:rsidRPr="00FE24C0">
        <w:fldChar w:fldCharType="begin"/>
      </w:r>
      <w:r w:rsidR="007B1F19" w:rsidRPr="00FE24C0">
        <w:instrText xml:space="preserve"> SEQ Diagram \* ARABIC </w:instrText>
      </w:r>
      <w:r w:rsidR="003F5785" w:rsidRPr="00FE24C0">
        <w:fldChar w:fldCharType="separate"/>
      </w:r>
      <w:r w:rsidR="00B5523D">
        <w:rPr>
          <w:noProof/>
        </w:rPr>
        <w:t>1</w:t>
      </w:r>
      <w:r w:rsidR="003F5785" w:rsidRPr="00FE24C0">
        <w:fldChar w:fldCharType="end"/>
      </w:r>
      <w:r w:rsidR="007B1F19" w:rsidRPr="00FE24C0">
        <w:t xml:space="preserve"> Schematic representation of the procedure followed to obtain monthly values derived from two satellite platforms with different characteristics</w:t>
      </w:r>
    </w:p>
    <w:p w:rsidR="007B1F19" w:rsidRPr="00FE24C0" w:rsidRDefault="00130500" w:rsidP="007B1F19">
      <w:pPr>
        <w:pStyle w:val="APDroughtPara"/>
        <w:numPr>
          <w:ilvl w:val="0"/>
          <w:numId w:val="0"/>
        </w:numPr>
        <w:spacing w:after="0"/>
        <w:ind w:left="720"/>
        <w:rPr>
          <w:szCs w:val="22"/>
          <w:lang w:eastAsia="es-NI"/>
        </w:rPr>
      </w:pPr>
      <w:r w:rsidRPr="00FE24C0">
        <w:rPr>
          <w:noProof/>
          <w:szCs w:val="22"/>
          <w:lang w:val="es-AR" w:eastAsia="es-AR"/>
        </w:rPr>
        <w:drawing>
          <wp:inline distT="0" distB="0" distL="0" distR="0">
            <wp:extent cx="4374491" cy="1806667"/>
            <wp:effectExtent l="19050" t="0" r="7009"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a:stretch>
                      <a:fillRect/>
                    </a:stretch>
                  </pic:blipFill>
                  <pic:spPr bwMode="auto">
                    <a:xfrm>
                      <a:off x="0" y="0"/>
                      <a:ext cx="4374491" cy="1806667"/>
                    </a:xfrm>
                    <a:prstGeom prst="rect">
                      <a:avLst/>
                    </a:prstGeom>
                    <a:noFill/>
                    <a:ln w="9525">
                      <a:noFill/>
                      <a:miter lim="800000"/>
                      <a:headEnd/>
                      <a:tailEnd/>
                    </a:ln>
                  </pic:spPr>
                </pic:pic>
              </a:graphicData>
            </a:graphic>
          </wp:inline>
        </w:drawing>
      </w:r>
    </w:p>
    <w:p w:rsidR="007B1F19" w:rsidRPr="00FE24C0" w:rsidRDefault="007B1F19" w:rsidP="000E35EC">
      <w:pPr>
        <w:pStyle w:val="Source"/>
        <w:rPr>
          <w:lang w:eastAsia="es-NI"/>
        </w:rPr>
      </w:pPr>
      <w:r w:rsidRPr="00FE24C0">
        <w:rPr>
          <w:lang w:eastAsia="es-NI"/>
        </w:rPr>
        <w:t>Source: LART-FAUBA, 2011</w:t>
      </w:r>
    </w:p>
    <w:p w:rsidR="003A7967" w:rsidRPr="00FE24C0" w:rsidRDefault="003A7967" w:rsidP="003A7967">
      <w:pPr>
        <w:pStyle w:val="WBReport"/>
        <w:rPr>
          <w:lang w:eastAsia="en-US"/>
        </w:rPr>
      </w:pPr>
      <w:r w:rsidRPr="003A7967">
        <w:rPr>
          <w:b/>
          <w:i/>
          <w:lang w:eastAsia="es-NI"/>
        </w:rPr>
        <w:t>The NDVI is a good estimator of the rate of growth of the forage biomass.</w:t>
      </w:r>
      <w:r w:rsidRPr="00FE24C0">
        <w:rPr>
          <w:lang w:eastAsia="es-NI"/>
        </w:rPr>
        <w:t xml:space="preserve"> </w:t>
      </w:r>
      <w:r w:rsidRPr="003A7967">
        <w:rPr>
          <w:lang w:eastAsia="es-NI"/>
        </w:rPr>
        <w:t xml:space="preserve">The NDVI series can be used as a good proxy to estimate the variation of forage production at the landscape level. Based on this fact, NDVI time series data can be used as the underlying data for the development of an index based insurance product in the SWBA. An example of the average monthly NDVI data is illustrated in Figure 4.2 for Villarino District: drought years in which </w:t>
      </w:r>
      <w:r w:rsidRPr="003A7967">
        <w:rPr>
          <w:lang w:eastAsia="es-NI"/>
        </w:rPr>
        <w:lastRenderedPageBreak/>
        <w:t>pasture production and grazing were severely impacted such as 1994</w:t>
      </w:r>
      <w:r w:rsidR="00F0345D" w:rsidRPr="00F0345D">
        <w:rPr>
          <w:vertAlign w:val="superscript"/>
        </w:rPr>
        <w:footnoteReference w:id="28"/>
      </w:r>
      <w:r w:rsidRPr="003A7967">
        <w:rPr>
          <w:lang w:eastAsia="es-NI"/>
        </w:rPr>
        <w:t xml:space="preserve"> 2001, 2005, 2006 and 2008 and 2009 are shown by the low NDVI values of 0.2 and below, while years of good rainfall and high pasture vigor and production are shown by NDVI values greater than 0.6. Further details about the methodology employed by LART-FAUBA to develop the NDVI database are presented in Annex 1.</w:t>
      </w:r>
    </w:p>
    <w:p w:rsidR="00C2573B" w:rsidRPr="00FE24C0" w:rsidRDefault="009D6A3C" w:rsidP="00D96CE8">
      <w:pPr>
        <w:pStyle w:val="HeadFiguresTablesBoxes"/>
      </w:pPr>
      <w:proofErr w:type="gramStart"/>
      <w:r w:rsidRPr="00FE24C0">
        <w:t>Figure 4</w:t>
      </w:r>
      <w:r w:rsidR="00AF73A4" w:rsidRPr="00FE24C0">
        <w:t>.2</w:t>
      </w:r>
      <w:r w:rsidR="00C2573B" w:rsidRPr="00FE24C0">
        <w:t>.</w:t>
      </w:r>
      <w:proofErr w:type="gramEnd"/>
      <w:r w:rsidR="00C2573B" w:rsidRPr="00FE24C0">
        <w:t xml:space="preserve"> Example of 28-Year Average Monthly NDVI by Cuart</w:t>
      </w:r>
      <w:r w:rsidR="00807074" w:rsidRPr="00FE24C0">
        <w:t>e</w:t>
      </w:r>
      <w:r w:rsidR="00C2573B" w:rsidRPr="00FE24C0">
        <w:t xml:space="preserve">l for Villarino </w:t>
      </w:r>
      <w:r w:rsidR="0055057A">
        <w:t>Department</w:t>
      </w:r>
      <w:r w:rsidR="00C2573B" w:rsidRPr="00FE24C0">
        <w:t>, SWBA</w:t>
      </w:r>
    </w:p>
    <w:p w:rsidR="00A26F1F" w:rsidRPr="00FE24C0" w:rsidRDefault="00E43164" w:rsidP="00AD0EB1">
      <w:pPr>
        <w:pStyle w:val="APDroughtPara"/>
        <w:numPr>
          <w:ilvl w:val="0"/>
          <w:numId w:val="0"/>
        </w:numPr>
        <w:spacing w:after="120"/>
        <w:outlineLvl w:val="9"/>
        <w:rPr>
          <w:b/>
          <w:i/>
          <w:szCs w:val="22"/>
          <w:lang w:eastAsia="es-NI"/>
        </w:rPr>
      </w:pPr>
      <w:r>
        <w:rPr>
          <w:noProof/>
          <w:szCs w:val="22"/>
          <w:lang w:val="es-AR" w:eastAsia="es-AR"/>
        </w:rPr>
        <w:drawing>
          <wp:inline distT="0" distB="0" distL="0" distR="0">
            <wp:extent cx="5495925" cy="203835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srcRect/>
                    <a:stretch>
                      <a:fillRect/>
                    </a:stretch>
                  </pic:blipFill>
                  <pic:spPr bwMode="auto">
                    <a:xfrm>
                      <a:off x="0" y="0"/>
                      <a:ext cx="5495925" cy="2038350"/>
                    </a:xfrm>
                    <a:prstGeom prst="rect">
                      <a:avLst/>
                    </a:prstGeom>
                    <a:noFill/>
                    <a:ln w="9525">
                      <a:noFill/>
                      <a:miter lim="800000"/>
                      <a:headEnd/>
                      <a:tailEnd/>
                    </a:ln>
                  </pic:spPr>
                </pic:pic>
              </a:graphicData>
            </a:graphic>
          </wp:inline>
        </w:drawing>
      </w:r>
    </w:p>
    <w:p w:rsidR="00AD0EB1" w:rsidRPr="00FE24C0" w:rsidRDefault="00AD0EB1" w:rsidP="000E35EC">
      <w:pPr>
        <w:pStyle w:val="Source"/>
        <w:rPr>
          <w:lang w:eastAsia="es-NI"/>
        </w:rPr>
      </w:pPr>
      <w:r w:rsidRPr="00FE24C0">
        <w:rPr>
          <w:lang w:eastAsia="es-NI"/>
        </w:rPr>
        <w:t>Source: Authors analysis of LART-FAUBA NDVI Data-base</w:t>
      </w:r>
    </w:p>
    <w:p w:rsidR="00A26F1F" w:rsidRPr="00FE24C0" w:rsidRDefault="00F72A8A" w:rsidP="003A7967">
      <w:pPr>
        <w:pStyle w:val="Subttulo"/>
        <w:rPr>
          <w:lang w:eastAsia="es-NI"/>
        </w:rPr>
      </w:pPr>
      <w:bookmarkStart w:id="28" w:name="_Toc345794267"/>
      <w:r w:rsidRPr="00FE24C0">
        <w:rPr>
          <w:lang w:eastAsia="es-NI"/>
        </w:rPr>
        <w:t xml:space="preserve">NDVI </w:t>
      </w:r>
      <w:r w:rsidR="00A26F1F" w:rsidRPr="00FE24C0">
        <w:rPr>
          <w:lang w:eastAsia="es-NI"/>
        </w:rPr>
        <w:t>Data Checking, Cleaning and Missing Data</w:t>
      </w:r>
      <w:bookmarkEnd w:id="28"/>
    </w:p>
    <w:p w:rsidR="000C6233" w:rsidRDefault="00086780" w:rsidP="003A7967">
      <w:pPr>
        <w:pStyle w:val="WBReport"/>
        <w:rPr>
          <w:lang w:eastAsia="es-NI"/>
        </w:rPr>
      </w:pPr>
      <w:r w:rsidRPr="003A7967">
        <w:rPr>
          <w:b/>
          <w:i/>
          <w:lang w:eastAsia="es-NI"/>
        </w:rPr>
        <w:t>The first task was to sort the 28 years NDVI Database into “forage resources</w:t>
      </w:r>
      <w:r w:rsidR="007D46D0">
        <w:rPr>
          <w:rStyle w:val="Refdenotaalpie"/>
          <w:b/>
          <w:i/>
          <w:lang w:eastAsia="es-NI"/>
        </w:rPr>
        <w:footnoteReference w:id="29"/>
      </w:r>
      <w:r w:rsidRPr="003A7967">
        <w:rPr>
          <w:b/>
          <w:i/>
          <w:lang w:eastAsia="es-NI"/>
        </w:rPr>
        <w:t>” (including natural pasture and grazing areas) and other land use area</w:t>
      </w:r>
      <w:r w:rsidR="00051209" w:rsidRPr="003A7967">
        <w:rPr>
          <w:b/>
          <w:i/>
          <w:lang w:eastAsia="es-NI"/>
        </w:rPr>
        <w:t>s</w:t>
      </w:r>
      <w:r w:rsidR="001A24FC" w:rsidRPr="003A7967">
        <w:rPr>
          <w:b/>
          <w:bCs/>
          <w:i/>
          <w:lang w:eastAsia="es-NI"/>
        </w:rPr>
        <w:t>.</w:t>
      </w:r>
      <w:r w:rsidRPr="00FE24C0">
        <w:rPr>
          <w:lang w:eastAsia="es-NI"/>
        </w:rPr>
        <w:t xml:space="preserve"> </w:t>
      </w:r>
      <w:r w:rsidR="001A24FC" w:rsidRPr="003A7967">
        <w:rPr>
          <w:bCs/>
          <w:lang w:eastAsia="es-NI"/>
        </w:rPr>
        <w:t xml:space="preserve">In practice many of the 5 km x 5 km pixels are not exclusively devoted to natural pasture and livestock grazing and if only pure pasture areas were included in this satellite index insurance program, many important cattle producing areas in SWBA would be excluded. At the other extreme, if less than 50% of the pixel area is covered by </w:t>
      </w:r>
      <w:r w:rsidR="001A24FC" w:rsidRPr="003A7967">
        <w:rPr>
          <w:lang w:eastAsia="es-NI"/>
        </w:rPr>
        <w:t>forage</w:t>
      </w:r>
      <w:r w:rsidR="001A24FC" w:rsidRPr="003A7967">
        <w:rPr>
          <w:bCs/>
          <w:lang w:eastAsia="es-NI"/>
        </w:rPr>
        <w:t xml:space="preserve"> then there is a danger that the average monthly NDVI value generated for that pixel is no longer representative of the pasture and grazing quality, but rather that the NDVI signature is blurred by other types of land use such as annual crops or forestry </w:t>
      </w:r>
      <w:r w:rsidR="001A24FC" w:rsidRPr="003A7967">
        <w:rPr>
          <w:bCs/>
          <w:lang w:eastAsia="es-NI"/>
        </w:rPr>
        <w:lastRenderedPageBreak/>
        <w:t xml:space="preserve">which are not the purpose of the pasture index insurance program. On the basis of discussions with LART-FAUBA it was agreed that the criterion for the definition of a “forage pixel” would be that a minimum of 60% of the area should be classified as forage resources. Using this criterion, a total of 1,591 pixels qualified as forage pixels which would be included in the insurance program (Table 4.1). </w:t>
      </w:r>
      <w:r w:rsidR="001A24FC" w:rsidRPr="003A7967">
        <w:rPr>
          <w:lang w:eastAsia="es-NI"/>
        </w:rPr>
        <w:t xml:space="preserve"> The location of these pixels is shown in the Map in Figure 4.3 and further discussion of the land use mapping system and issues are presented in the next section.</w:t>
      </w:r>
      <w:r w:rsidR="003C6A77">
        <w:rPr>
          <w:lang w:eastAsia="es-NI"/>
        </w:rPr>
        <w:t xml:space="preserve"> (See Annex 1 for full details of the methodology used by LART-FAUBA to process the NDVI data and classify forage resource pixels).</w:t>
      </w:r>
    </w:p>
    <w:p w:rsidR="000C6233" w:rsidRPr="00FE24C0" w:rsidRDefault="00D27314" w:rsidP="00767AAB">
      <w:pPr>
        <w:pStyle w:val="WBReport"/>
        <w:rPr>
          <w:lang w:eastAsia="es-NI"/>
        </w:rPr>
      </w:pPr>
      <w:r w:rsidRPr="00767AAB">
        <w:rPr>
          <w:b/>
          <w:i/>
          <w:lang w:eastAsia="es-NI"/>
        </w:rPr>
        <w:t>The second step consisted of</w:t>
      </w:r>
      <w:r w:rsidR="007C7EBA" w:rsidRPr="00767AAB">
        <w:rPr>
          <w:b/>
          <w:i/>
          <w:lang w:eastAsia="es-NI"/>
        </w:rPr>
        <w:t xml:space="preserve"> identifying </w:t>
      </w:r>
      <w:r w:rsidR="00C26EEC" w:rsidRPr="00767AAB">
        <w:rPr>
          <w:b/>
          <w:i/>
          <w:lang w:eastAsia="es-NI"/>
        </w:rPr>
        <w:t>missing values and outliers for each one of the selected pixels (1,591</w:t>
      </w:r>
      <w:r w:rsidR="00B44D92">
        <w:rPr>
          <w:b/>
          <w:i/>
          <w:lang w:eastAsia="es-NI"/>
        </w:rPr>
        <w:t xml:space="preserve"> or 52.9% of the total number of </w:t>
      </w:r>
      <w:r w:rsidR="003C6A77">
        <w:rPr>
          <w:b/>
          <w:i/>
          <w:lang w:eastAsia="es-NI"/>
        </w:rPr>
        <w:t xml:space="preserve">3,006 </w:t>
      </w:r>
      <w:r w:rsidR="00B44D92">
        <w:rPr>
          <w:b/>
          <w:i/>
          <w:lang w:eastAsia="es-NI"/>
        </w:rPr>
        <w:t>pixels</w:t>
      </w:r>
      <w:r w:rsidR="00C26EEC" w:rsidRPr="00767AAB">
        <w:rPr>
          <w:b/>
          <w:i/>
          <w:lang w:eastAsia="es-NI"/>
        </w:rPr>
        <w:t>)</w:t>
      </w:r>
      <w:r w:rsidR="00767AAB">
        <w:rPr>
          <w:b/>
          <w:i/>
          <w:lang w:eastAsia="es-NI"/>
        </w:rPr>
        <w:t>.</w:t>
      </w:r>
      <w:r w:rsidR="00D97186" w:rsidRPr="00767AAB">
        <w:rPr>
          <w:b/>
          <w:i/>
          <w:lang w:eastAsia="es-NI"/>
        </w:rPr>
        <w:t xml:space="preserve"> </w:t>
      </w:r>
      <w:r w:rsidR="001A24FC" w:rsidRPr="00767AAB">
        <w:rPr>
          <w:b/>
          <w:i/>
          <w:lang w:eastAsia="es-NI"/>
        </w:rPr>
        <w:t>For each pixel the maximum number of average monthly NDVI values would be 336 (28 years x 12 monthly average NDVI values)</w:t>
      </w:r>
      <w:r w:rsidR="001A24FC" w:rsidRPr="00767AAB">
        <w:rPr>
          <w:lang w:eastAsia="es-NI"/>
        </w:rPr>
        <w:t xml:space="preserve"> and for the 1,591</w:t>
      </w:r>
      <w:r w:rsidR="001A24FC" w:rsidRPr="00FE24C0">
        <w:rPr>
          <w:lang w:eastAsia="es-NI"/>
        </w:rPr>
        <w:t xml:space="preserve"> </w:t>
      </w:r>
      <w:r w:rsidR="001A24FC" w:rsidRPr="00767AAB">
        <w:rPr>
          <w:lang w:eastAsia="es-NI"/>
        </w:rPr>
        <w:t>forage pixels, a total of 534,576 NDVI values assuming no missing data. The database provided by LART FAUBA in fact contained 511,597 NDVI values with a total of 22,979 missing values equivalent to 4.3% of the total values (see Table 4.1). Then a linear interpolation technique was used for infilling time-series gaps to avoid systematic changes to the data or the average value of the NDVI readings</w:t>
      </w:r>
      <w:r w:rsidR="00F0345D" w:rsidRPr="00F0345D">
        <w:rPr>
          <w:vertAlign w:val="superscript"/>
          <w:lang w:eastAsia="es-NI"/>
        </w:rPr>
        <w:footnoteReference w:id="30"/>
      </w:r>
      <w:r w:rsidR="001A24FC" w:rsidRPr="00767AAB">
        <w:rPr>
          <w:lang w:eastAsia="es-NI"/>
        </w:rPr>
        <w:t xml:space="preserve">. After applying these statistical procedures the number of unfilled values was reduced to 688 or lower than 0.13% of the total NDVI database and which may be considered good enough for grouping pixels with similar characteristics (Table 4.1.).  It is understood that one of the main reasons for missing NDVI values is due to cloud cover which prevents the satellite sensor from receiving the reflected visible and near infrared radiation. </w:t>
      </w:r>
    </w:p>
    <w:p w:rsidR="007B1F19" w:rsidRPr="00FE24C0" w:rsidRDefault="000732DF" w:rsidP="005A6F83">
      <w:pPr>
        <w:pStyle w:val="HeadFiguresTablesBoxes"/>
        <w:spacing w:before="120"/>
      </w:pPr>
      <w:proofErr w:type="gramStart"/>
      <w:r w:rsidRPr="00FE24C0">
        <w:t xml:space="preserve">Figure </w:t>
      </w:r>
      <w:r w:rsidR="005D1CBF" w:rsidRPr="00FE24C0">
        <w:t>4.</w:t>
      </w:r>
      <w:r w:rsidR="00AF73A4" w:rsidRPr="00FE24C0">
        <w:t>3</w:t>
      </w:r>
      <w:r w:rsidR="005D1CBF" w:rsidRPr="00FE24C0">
        <w:t>.</w:t>
      </w:r>
      <w:proofErr w:type="gramEnd"/>
      <w:r w:rsidR="00BF4281" w:rsidRPr="00FE24C0">
        <w:t xml:space="preserve"> Sel</w:t>
      </w:r>
      <w:r w:rsidR="007B1F19" w:rsidRPr="00FE24C0">
        <w:t>ected pixels for analysis (criterion &gt;</w:t>
      </w:r>
      <w:r w:rsidR="00845B5E" w:rsidRPr="00FE24C0">
        <w:t>=</w:t>
      </w:r>
      <w:r w:rsidR="007B1F19" w:rsidRPr="00FE24C0">
        <w:t xml:space="preserve"> 60% of the area of the pixels </w:t>
      </w:r>
      <w:r w:rsidR="00937F0B" w:rsidRPr="00FE24C0">
        <w:t>allotted</w:t>
      </w:r>
      <w:r w:rsidR="007B1F19" w:rsidRPr="00FE24C0">
        <w:t xml:space="preserve"> for livestock fodder production)</w:t>
      </w:r>
    </w:p>
    <w:p w:rsidR="007B1F19" w:rsidRPr="00FE24C0" w:rsidRDefault="00130500" w:rsidP="009473C5">
      <w:pPr>
        <w:pStyle w:val="APDroughtPara"/>
        <w:numPr>
          <w:ilvl w:val="0"/>
          <w:numId w:val="0"/>
        </w:numPr>
        <w:spacing w:after="0"/>
        <w:ind w:left="720"/>
        <w:jc w:val="center"/>
        <w:outlineLvl w:val="9"/>
        <w:rPr>
          <w:b/>
          <w:i/>
          <w:szCs w:val="22"/>
        </w:rPr>
      </w:pPr>
      <w:r w:rsidRPr="00FE24C0">
        <w:rPr>
          <w:noProof/>
          <w:szCs w:val="22"/>
          <w:lang w:val="es-AR" w:eastAsia="es-AR"/>
        </w:rPr>
        <w:drawing>
          <wp:inline distT="0" distB="0" distL="0" distR="0">
            <wp:extent cx="2149334" cy="3040762"/>
            <wp:effectExtent l="38100" t="19050" r="22366" b="26288"/>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srcRect/>
                    <a:stretch>
                      <a:fillRect/>
                    </a:stretch>
                  </pic:blipFill>
                  <pic:spPr bwMode="auto">
                    <a:xfrm>
                      <a:off x="0" y="0"/>
                      <a:ext cx="2149334" cy="3040762"/>
                    </a:xfrm>
                    <a:prstGeom prst="rect">
                      <a:avLst/>
                    </a:prstGeom>
                    <a:noFill/>
                    <a:ln w="6350" cmpd="sng">
                      <a:solidFill>
                        <a:srgbClr val="000000"/>
                      </a:solidFill>
                      <a:miter lim="800000"/>
                      <a:headEnd/>
                      <a:tailEnd/>
                    </a:ln>
                    <a:effectLst/>
                  </pic:spPr>
                </pic:pic>
              </a:graphicData>
            </a:graphic>
          </wp:inline>
        </w:drawing>
      </w:r>
    </w:p>
    <w:p w:rsidR="007B1F19" w:rsidRPr="00FE24C0" w:rsidRDefault="007B1F19" w:rsidP="000E35EC">
      <w:pPr>
        <w:pStyle w:val="Source"/>
      </w:pPr>
      <w:r w:rsidRPr="00FE24C0">
        <w:t>Source: Authors</w:t>
      </w:r>
    </w:p>
    <w:p w:rsidR="007B1F19" w:rsidRDefault="007B1F19" w:rsidP="00D96CE8">
      <w:pPr>
        <w:pStyle w:val="HeadFiguresTablesBoxes"/>
      </w:pPr>
      <w:proofErr w:type="gramStart"/>
      <w:r w:rsidRPr="00FE24C0">
        <w:lastRenderedPageBreak/>
        <w:t xml:space="preserve">Table </w:t>
      </w:r>
      <w:r w:rsidR="007906C7" w:rsidRPr="00FE24C0">
        <w:t>4.1.</w:t>
      </w:r>
      <w:proofErr w:type="gramEnd"/>
      <w:r w:rsidR="007906C7" w:rsidRPr="00FE24C0">
        <w:t xml:space="preserve">  </w:t>
      </w:r>
      <w:r w:rsidR="007E12C9" w:rsidRPr="00FE24C0">
        <w:t xml:space="preserve">Total Number of Pixels </w:t>
      </w:r>
      <w:r w:rsidR="007906C7" w:rsidRPr="00FE24C0">
        <w:t xml:space="preserve">(grids) </w:t>
      </w:r>
      <w:r w:rsidR="007E12C9" w:rsidRPr="00FE24C0">
        <w:t>sel</w:t>
      </w:r>
      <w:r w:rsidRPr="00FE24C0">
        <w:t xml:space="preserve">ected for the </w:t>
      </w:r>
      <w:r w:rsidR="007906C7" w:rsidRPr="00FE24C0">
        <w:t xml:space="preserve">NDVI Database </w:t>
      </w:r>
      <w:r w:rsidRPr="00FE24C0">
        <w:t>analysis</w:t>
      </w:r>
      <w:r w:rsidR="007906C7" w:rsidRPr="00FE24C0">
        <w:t xml:space="preserve"> in SWBA</w:t>
      </w:r>
    </w:p>
    <w:tbl>
      <w:tblPr>
        <w:tblW w:w="4765" w:type="pct"/>
        <w:tblLook w:val="04A0"/>
      </w:tblPr>
      <w:tblGrid>
        <w:gridCol w:w="816"/>
        <w:gridCol w:w="1246"/>
        <w:gridCol w:w="907"/>
        <w:gridCol w:w="817"/>
        <w:gridCol w:w="837"/>
        <w:gridCol w:w="837"/>
        <w:gridCol w:w="1159"/>
        <w:gridCol w:w="1160"/>
        <w:gridCol w:w="666"/>
      </w:tblGrid>
      <w:tr w:rsidR="00B92DD6" w:rsidRPr="009B094D" w:rsidTr="00B92DD6">
        <w:trPr>
          <w:trHeight w:val="20"/>
        </w:trPr>
        <w:tc>
          <w:tcPr>
            <w:tcW w:w="483" w:type="pct"/>
            <w:tcBorders>
              <w:top w:val="single" w:sz="4" w:space="0" w:color="auto"/>
              <w:left w:val="single" w:sz="4" w:space="0" w:color="auto"/>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Depart</w:t>
            </w:r>
            <w:r>
              <w:rPr>
                <w:rFonts w:eastAsia="Times New Roman"/>
                <w:b/>
                <w:bCs/>
                <w:color w:val="000000"/>
                <w:sz w:val="18"/>
                <w:szCs w:val="18"/>
                <w:lang w:val="en-GB" w:eastAsia="en-GB"/>
              </w:rPr>
              <w:t>-</w:t>
            </w:r>
            <w:r w:rsidRPr="009B094D">
              <w:rPr>
                <w:rFonts w:eastAsia="Times New Roman"/>
                <w:b/>
                <w:bCs/>
                <w:color w:val="000000"/>
                <w:sz w:val="18"/>
                <w:szCs w:val="18"/>
                <w:lang w:val="en-GB" w:eastAsia="en-GB"/>
              </w:rPr>
              <w:t>ment ID</w:t>
            </w:r>
          </w:p>
        </w:tc>
        <w:tc>
          <w:tcPr>
            <w:tcW w:w="738"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Department</w:t>
            </w:r>
          </w:p>
        </w:tc>
        <w:tc>
          <w:tcPr>
            <w:tcW w:w="537"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No. Values provided</w:t>
            </w:r>
          </w:p>
        </w:tc>
        <w:tc>
          <w:tcPr>
            <w:tcW w:w="484"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No. Missing values</w:t>
            </w:r>
          </w:p>
        </w:tc>
        <w:tc>
          <w:tcPr>
            <w:tcW w:w="496"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No. Infilling values</w:t>
            </w:r>
          </w:p>
        </w:tc>
        <w:tc>
          <w:tcPr>
            <w:tcW w:w="496"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Unfilled values</w:t>
            </w:r>
          </w:p>
        </w:tc>
        <w:tc>
          <w:tcPr>
            <w:tcW w:w="686"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Total values (sample)</w:t>
            </w:r>
          </w:p>
        </w:tc>
        <w:tc>
          <w:tcPr>
            <w:tcW w:w="687" w:type="pct"/>
            <w:tcBorders>
              <w:top w:val="single" w:sz="4" w:space="0" w:color="auto"/>
              <w:left w:val="nil"/>
              <w:bottom w:val="nil"/>
              <w:right w:val="nil"/>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No. Pixels &gt;= 60% forage resources</w:t>
            </w:r>
          </w:p>
        </w:tc>
        <w:tc>
          <w:tcPr>
            <w:tcW w:w="394" w:type="pct"/>
            <w:tcBorders>
              <w:top w:val="single" w:sz="4" w:space="0" w:color="auto"/>
              <w:left w:val="nil"/>
              <w:bottom w:val="nil"/>
              <w:right w:val="single" w:sz="4" w:space="0" w:color="auto"/>
            </w:tcBorders>
            <w:shd w:val="clear" w:color="000000" w:fill="FFFFFF"/>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Total Pixels</w:t>
            </w:r>
          </w:p>
        </w:tc>
      </w:tr>
      <w:tr w:rsidR="00B92DD6" w:rsidRPr="009B094D" w:rsidTr="00B92DD6">
        <w:trPr>
          <w:trHeight w:val="300"/>
        </w:trPr>
        <w:tc>
          <w:tcPr>
            <w:tcW w:w="483" w:type="pct"/>
            <w:tcBorders>
              <w:top w:val="nil"/>
              <w:left w:val="single" w:sz="4" w:space="0" w:color="auto"/>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p>
        </w:tc>
        <w:tc>
          <w:tcPr>
            <w:tcW w:w="738"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p>
        </w:tc>
        <w:tc>
          <w:tcPr>
            <w:tcW w:w="537"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[1]</w:t>
            </w:r>
          </w:p>
        </w:tc>
        <w:tc>
          <w:tcPr>
            <w:tcW w:w="484"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[2]</w:t>
            </w:r>
          </w:p>
        </w:tc>
        <w:tc>
          <w:tcPr>
            <w:tcW w:w="496"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[3]</w:t>
            </w:r>
          </w:p>
        </w:tc>
        <w:tc>
          <w:tcPr>
            <w:tcW w:w="496"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[4=2-3]</w:t>
            </w:r>
          </w:p>
        </w:tc>
        <w:tc>
          <w:tcPr>
            <w:tcW w:w="686"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[5=1+2)</w:t>
            </w:r>
          </w:p>
        </w:tc>
        <w:tc>
          <w:tcPr>
            <w:tcW w:w="687" w:type="pct"/>
            <w:tcBorders>
              <w:top w:val="nil"/>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[6]</w:t>
            </w:r>
          </w:p>
        </w:tc>
        <w:tc>
          <w:tcPr>
            <w:tcW w:w="394" w:type="pct"/>
            <w:tcBorders>
              <w:top w:val="nil"/>
              <w:left w:val="nil"/>
              <w:bottom w:val="single" w:sz="4" w:space="0" w:color="auto"/>
              <w:right w:val="single" w:sz="4" w:space="0" w:color="auto"/>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007</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Adolfo Alsina</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10,996</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764</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763</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11,760</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35</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253</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056</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Bahía Blanca</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26,718</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834</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834</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 </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27,552</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82</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98</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182</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Cnel. Rosales</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9,545</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535</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532</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3</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10,080</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30</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62</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189</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Cnel. Dorrego</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12,334</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434</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434</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 </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12,768</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38</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249</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196</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Cnel. Pringles</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53,873</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1,903</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1,863</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40</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55,776</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166</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230</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203</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Cnel. Suarez</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21,586</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926</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926</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 </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22,512</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67</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256</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399</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Guamini</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7,510</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218</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218</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 </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7,728</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23</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208</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602</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Patagones</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118,613</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4,027</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4,025</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122,640</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365</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605</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651</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Puan</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64,705</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6,191</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6,111</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80</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70,896</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211</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270</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700</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Saavedra</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19,196</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628</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628</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 </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19,824</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59</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144</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819</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Tornquist</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50,620</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1,460</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1,460</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 </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52,080</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155</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173</w:t>
            </w:r>
          </w:p>
        </w:tc>
      </w:tr>
      <w:tr w:rsidR="00B92DD6" w:rsidRPr="009B094D" w:rsidTr="00B92DD6">
        <w:trPr>
          <w:trHeight w:val="300"/>
        </w:trPr>
        <w:tc>
          <w:tcPr>
            <w:tcW w:w="483" w:type="pct"/>
            <w:tcBorders>
              <w:top w:val="nil"/>
              <w:left w:val="single" w:sz="4" w:space="0" w:color="auto"/>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Pr>
                <w:rFonts w:eastAsia="Times New Roman"/>
                <w:color w:val="000000"/>
                <w:sz w:val="18"/>
                <w:szCs w:val="18"/>
                <w:lang w:val="en-GB" w:eastAsia="en-GB"/>
              </w:rPr>
              <w:t>875</w:t>
            </w:r>
          </w:p>
        </w:tc>
        <w:tc>
          <w:tcPr>
            <w:tcW w:w="738" w:type="pct"/>
            <w:tcBorders>
              <w:top w:val="nil"/>
              <w:left w:val="nil"/>
              <w:bottom w:val="nil"/>
              <w:right w:val="nil"/>
            </w:tcBorders>
            <w:shd w:val="clear" w:color="000000" w:fill="FFFFFF"/>
            <w:noWrap/>
            <w:vAlign w:val="center"/>
            <w:hideMark/>
          </w:tcPr>
          <w:p w:rsidR="00B92DD6" w:rsidRPr="009B094D" w:rsidRDefault="00B92DD6" w:rsidP="00B92DD6">
            <w:pPr>
              <w:spacing w:after="0"/>
              <w:jc w:val="center"/>
              <w:rPr>
                <w:rFonts w:eastAsia="Times New Roman"/>
                <w:color w:val="000000"/>
                <w:sz w:val="18"/>
                <w:szCs w:val="18"/>
                <w:lang w:val="en-GB" w:eastAsia="en-GB"/>
              </w:rPr>
            </w:pPr>
            <w:r w:rsidRPr="009B094D">
              <w:rPr>
                <w:rFonts w:eastAsia="Times New Roman"/>
                <w:color w:val="000000"/>
                <w:sz w:val="18"/>
                <w:szCs w:val="18"/>
                <w:lang w:val="en-GB" w:eastAsia="en-GB"/>
              </w:rPr>
              <w:t>Villarino</w:t>
            </w:r>
          </w:p>
        </w:tc>
        <w:tc>
          <w:tcPr>
            <w:tcW w:w="53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115,901</w:t>
            </w:r>
          </w:p>
        </w:tc>
        <w:tc>
          <w:tcPr>
            <w:tcW w:w="484"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5,059</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4,497</w:t>
            </w:r>
          </w:p>
        </w:tc>
        <w:tc>
          <w:tcPr>
            <w:tcW w:w="49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562</w:t>
            </w:r>
          </w:p>
        </w:tc>
        <w:tc>
          <w:tcPr>
            <w:tcW w:w="686"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120,960</w:t>
            </w:r>
          </w:p>
        </w:tc>
        <w:tc>
          <w:tcPr>
            <w:tcW w:w="687" w:type="pct"/>
            <w:tcBorders>
              <w:top w:val="nil"/>
              <w:left w:val="nil"/>
              <w:bottom w:val="nil"/>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360</w:t>
            </w:r>
          </w:p>
        </w:tc>
        <w:tc>
          <w:tcPr>
            <w:tcW w:w="394" w:type="pct"/>
            <w:tcBorders>
              <w:top w:val="nil"/>
              <w:left w:val="nil"/>
              <w:bottom w:val="nil"/>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r w:rsidRPr="009B094D">
              <w:rPr>
                <w:rFonts w:eastAsia="Times New Roman"/>
                <w:color w:val="000000"/>
                <w:sz w:val="18"/>
                <w:szCs w:val="18"/>
                <w:lang w:val="en-GB" w:eastAsia="en-GB"/>
              </w:rPr>
              <w:t>458</w:t>
            </w:r>
          </w:p>
        </w:tc>
      </w:tr>
      <w:tr w:rsidR="00B92DD6" w:rsidRPr="009B094D" w:rsidTr="00B92DD6">
        <w:trPr>
          <w:trHeight w:val="300"/>
        </w:trPr>
        <w:tc>
          <w:tcPr>
            <w:tcW w:w="483" w:type="pct"/>
            <w:tcBorders>
              <w:top w:val="single" w:sz="4" w:space="0" w:color="auto"/>
              <w:left w:val="single" w:sz="4" w:space="0" w:color="auto"/>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color w:val="000000"/>
                <w:sz w:val="18"/>
                <w:szCs w:val="18"/>
                <w:lang w:val="en-GB" w:eastAsia="en-GB"/>
              </w:rPr>
            </w:pPr>
          </w:p>
        </w:tc>
        <w:tc>
          <w:tcPr>
            <w:tcW w:w="738"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center"/>
              <w:rPr>
                <w:rFonts w:eastAsia="Times New Roman"/>
                <w:b/>
                <w:bCs/>
                <w:color w:val="000000"/>
                <w:sz w:val="18"/>
                <w:szCs w:val="18"/>
                <w:lang w:val="en-GB" w:eastAsia="en-GB"/>
              </w:rPr>
            </w:pPr>
            <w:r w:rsidRPr="009B094D">
              <w:rPr>
                <w:rFonts w:eastAsia="Times New Roman"/>
                <w:b/>
                <w:bCs/>
                <w:color w:val="000000"/>
                <w:sz w:val="18"/>
                <w:szCs w:val="18"/>
                <w:lang w:val="en-GB" w:eastAsia="en-GB"/>
              </w:rPr>
              <w:t>Total</w:t>
            </w:r>
          </w:p>
        </w:tc>
        <w:tc>
          <w:tcPr>
            <w:tcW w:w="537"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511,597</w:t>
            </w:r>
          </w:p>
        </w:tc>
        <w:tc>
          <w:tcPr>
            <w:tcW w:w="484"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22,979</w:t>
            </w:r>
          </w:p>
        </w:tc>
        <w:tc>
          <w:tcPr>
            <w:tcW w:w="496"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22,291</w:t>
            </w:r>
          </w:p>
        </w:tc>
        <w:tc>
          <w:tcPr>
            <w:tcW w:w="496"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688</w:t>
            </w:r>
          </w:p>
        </w:tc>
        <w:tc>
          <w:tcPr>
            <w:tcW w:w="686"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534,576</w:t>
            </w:r>
          </w:p>
        </w:tc>
        <w:tc>
          <w:tcPr>
            <w:tcW w:w="687" w:type="pct"/>
            <w:tcBorders>
              <w:top w:val="single" w:sz="4" w:space="0" w:color="auto"/>
              <w:left w:val="nil"/>
              <w:bottom w:val="single" w:sz="4" w:space="0" w:color="auto"/>
              <w:right w:val="nil"/>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1,591</w:t>
            </w:r>
          </w:p>
        </w:tc>
        <w:tc>
          <w:tcPr>
            <w:tcW w:w="394" w:type="pct"/>
            <w:tcBorders>
              <w:top w:val="single" w:sz="4" w:space="0" w:color="auto"/>
              <w:left w:val="nil"/>
              <w:bottom w:val="single" w:sz="4" w:space="0" w:color="auto"/>
              <w:right w:val="single" w:sz="4" w:space="0" w:color="auto"/>
            </w:tcBorders>
            <w:shd w:val="clear" w:color="000000" w:fill="FFFFFF"/>
            <w:noWrap/>
            <w:vAlign w:val="center"/>
            <w:hideMark/>
          </w:tcPr>
          <w:p w:rsidR="00B92DD6" w:rsidRPr="009B094D" w:rsidRDefault="00B92DD6" w:rsidP="00B92DD6">
            <w:pPr>
              <w:spacing w:after="0"/>
              <w:jc w:val="right"/>
              <w:rPr>
                <w:rFonts w:eastAsia="Times New Roman"/>
                <w:b/>
                <w:bCs/>
                <w:color w:val="000000"/>
                <w:sz w:val="18"/>
                <w:szCs w:val="18"/>
                <w:lang w:val="en-GB" w:eastAsia="en-GB"/>
              </w:rPr>
            </w:pPr>
            <w:r w:rsidRPr="009B094D">
              <w:rPr>
                <w:rFonts w:eastAsia="Times New Roman"/>
                <w:b/>
                <w:bCs/>
                <w:color w:val="000000"/>
                <w:sz w:val="18"/>
                <w:szCs w:val="18"/>
                <w:lang w:val="en-GB" w:eastAsia="en-GB"/>
              </w:rPr>
              <w:t>3,006</w:t>
            </w:r>
          </w:p>
        </w:tc>
      </w:tr>
    </w:tbl>
    <w:p w:rsidR="00E2141D" w:rsidRDefault="007B1F19">
      <w:pPr>
        <w:pStyle w:val="APDroughtPara"/>
        <w:numPr>
          <w:ilvl w:val="0"/>
          <w:numId w:val="0"/>
        </w:numPr>
        <w:spacing w:after="0"/>
        <w:outlineLvl w:val="9"/>
      </w:pPr>
      <w:proofErr w:type="gramStart"/>
      <w:r w:rsidRPr="00FE24C0">
        <w:t>Source :</w:t>
      </w:r>
      <w:proofErr w:type="gramEnd"/>
      <w:r w:rsidRPr="00FE24C0">
        <w:t xml:space="preserve"> Authors</w:t>
      </w:r>
    </w:p>
    <w:p w:rsidR="00E2141D" w:rsidRDefault="00E2141D">
      <w:pPr>
        <w:pStyle w:val="APDroughtPara"/>
        <w:numPr>
          <w:ilvl w:val="0"/>
          <w:numId w:val="0"/>
        </w:numPr>
        <w:spacing w:after="0"/>
        <w:outlineLvl w:val="9"/>
      </w:pPr>
    </w:p>
    <w:p w:rsidR="00192DBB" w:rsidRPr="00FE24C0" w:rsidRDefault="00192DBB" w:rsidP="00192DBB">
      <w:pPr>
        <w:pStyle w:val="APSubheading"/>
        <w:rPr>
          <w:b/>
          <w:sz w:val="24"/>
          <w:lang w:eastAsia="es-NI"/>
        </w:rPr>
      </w:pPr>
      <w:r w:rsidRPr="00FE24C0">
        <w:rPr>
          <w:b/>
          <w:sz w:val="24"/>
          <w:lang w:eastAsia="es-NI"/>
        </w:rPr>
        <w:t>Mapping of Natural Pasture Areas in SWBA Province</w:t>
      </w:r>
    </w:p>
    <w:p w:rsidR="000C6233" w:rsidRDefault="00192DBB" w:rsidP="00767AAB">
      <w:pPr>
        <w:pStyle w:val="WBReport"/>
      </w:pPr>
      <w:r w:rsidRPr="00767AAB">
        <w:rPr>
          <w:b/>
          <w:i/>
          <w:lang w:eastAsia="es-NI"/>
        </w:rPr>
        <w:t>LART-FAUBA mapped and classified the vegetation cover and land use in each of the pixels and specifically for identifying and distinguishing areas of natural pasture and grazing from other types of land use and ground cover</w:t>
      </w:r>
      <w:r w:rsidR="001A24FC" w:rsidRPr="00767AAB">
        <w:rPr>
          <w:b/>
          <w:i/>
        </w:rPr>
        <w:t>.</w:t>
      </w:r>
      <w:r w:rsidRPr="00767AAB">
        <w:t xml:space="preserve"> </w:t>
      </w:r>
      <w:r w:rsidR="001A24FC" w:rsidRPr="00767AAB">
        <w:t>For the purposes of this vegetation cover mapping exercise, three activities were carried out, including: (1) use of high resolution LANDSAT images to generate a land-cover classification for the 12 departments, (2) use of ground truth surveys to validate the land use classification; and then (3) use of MODIS 250 meter x 250 meter resolution NDVI imagery for the two most recent and representative years 2006 and 2007 to establish the NDVI phenological signature over the 12 month period for forage and non forage resources.</w:t>
      </w:r>
      <w:r w:rsidRPr="00767AAB">
        <w:t xml:space="preserve">  </w:t>
      </w:r>
    </w:p>
    <w:p w:rsidR="000C6233" w:rsidRDefault="00192DBB" w:rsidP="00767AAB">
      <w:pPr>
        <w:pStyle w:val="WBReport"/>
      </w:pPr>
      <w:r w:rsidRPr="00767AAB">
        <w:rPr>
          <w:b/>
          <w:i/>
          <w:lang w:eastAsia="es-NI"/>
        </w:rPr>
        <w:t>The land use risk mapping exercise was used to distinguish between three types of land cover in SWBA including: forage resources, non-forage resources (agricultural crops, forestry, etc), and unclassified</w:t>
      </w:r>
      <w:r w:rsidR="001A24FC" w:rsidRPr="00767AAB">
        <w:rPr>
          <w:b/>
          <w:i/>
          <w:lang w:eastAsia="es-NI"/>
        </w:rPr>
        <w:t>.</w:t>
      </w:r>
      <w:r w:rsidRPr="00FE24C0">
        <w:rPr>
          <w:lang w:eastAsia="es-NI"/>
        </w:rPr>
        <w:t xml:space="preserve"> </w:t>
      </w:r>
      <w:r w:rsidR="001A24FC" w:rsidRPr="00767AAB">
        <w:rPr>
          <w:lang w:eastAsia="es-NI"/>
        </w:rPr>
        <w:t xml:space="preserve"> This classification was used to calculate for each 5 Km by 5 Km pixel in SWBA the percentage of the pixel area corresponding to each land use type. The results of this classification are presented in the Map in Figure 4.4 and show that the central and southern regions of SWBA are dominated by forage resources (natural pasture / grazing), but in the higher rainfall areas to the north and east a much higher percentage of the area is cultivated with winter crops (i.e. wheat is the most important crop). The ground-truth surveys showed that the accuracy of the land-use mapping system was about 81% which was considered by LART-FAUBA to be good enough to capture catastrophic events whose effects are evident in large areas. This degree of accuracy in classification of land use could be improved; nevertheless, a less generic land cover classification and, potentially, more land control points may be needed. Further details of </w:t>
      </w:r>
      <w:r w:rsidR="001A24FC" w:rsidRPr="00767AAB">
        <w:rPr>
          <w:lang w:eastAsia="es-NI"/>
        </w:rPr>
        <w:lastRenderedPageBreak/>
        <w:t>the LART-FAUBA land use classification system are presented in Annex 1 and in Texeira, Oyarzabal and Arocena 2011</w:t>
      </w:r>
      <w:r w:rsidR="007C1E50" w:rsidRPr="007C1E50">
        <w:rPr>
          <w:vertAlign w:val="superscript"/>
        </w:rPr>
        <w:footnoteReference w:id="31"/>
      </w:r>
      <w:r w:rsidR="001A24FC" w:rsidRPr="00767AAB">
        <w:rPr>
          <w:lang w:eastAsia="es-NI"/>
        </w:rPr>
        <w:t>.</w:t>
      </w:r>
    </w:p>
    <w:p w:rsidR="00192DBB" w:rsidRPr="00FE24C0" w:rsidRDefault="00192DBB" w:rsidP="00192DBB">
      <w:pPr>
        <w:pStyle w:val="HeadFiguresTablesBoxes"/>
      </w:pPr>
      <w:proofErr w:type="gramStart"/>
      <w:r w:rsidRPr="00FE24C0">
        <w:t>Figure 4.4.</w:t>
      </w:r>
      <w:proofErr w:type="gramEnd"/>
      <w:r w:rsidRPr="00FE24C0">
        <w:t xml:space="preserve"> Land Use Classification Map of SWBA showing Forage and Non-Forage Areas</w:t>
      </w:r>
    </w:p>
    <w:p w:rsidR="00192DBB" w:rsidRPr="00FE24C0" w:rsidRDefault="00192DBB" w:rsidP="00192DBB">
      <w:pPr>
        <w:pStyle w:val="APDroughtPara"/>
        <w:numPr>
          <w:ilvl w:val="0"/>
          <w:numId w:val="0"/>
        </w:numPr>
        <w:spacing w:after="120"/>
        <w:outlineLvl w:val="9"/>
        <w:rPr>
          <w:szCs w:val="22"/>
          <w:lang w:eastAsia="es-NI"/>
        </w:rPr>
      </w:pPr>
      <w:r w:rsidRPr="00FE24C0">
        <w:rPr>
          <w:noProof/>
          <w:szCs w:val="22"/>
          <w:lang w:val="es-AR" w:eastAsia="es-AR"/>
        </w:rPr>
        <w:drawing>
          <wp:inline distT="0" distB="0" distL="0" distR="0">
            <wp:extent cx="2743200" cy="3636645"/>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t="2589" b="1390"/>
                    <a:stretch>
                      <a:fillRect/>
                    </a:stretch>
                  </pic:blipFill>
                  <pic:spPr bwMode="auto">
                    <a:xfrm>
                      <a:off x="0" y="0"/>
                      <a:ext cx="2743200" cy="3636645"/>
                    </a:xfrm>
                    <a:prstGeom prst="rect">
                      <a:avLst/>
                    </a:prstGeom>
                    <a:solidFill>
                      <a:srgbClr val="FFFFFF"/>
                    </a:solidFill>
                    <a:ln w="9525">
                      <a:noFill/>
                      <a:miter lim="800000"/>
                      <a:headEnd/>
                      <a:tailEnd/>
                    </a:ln>
                  </pic:spPr>
                </pic:pic>
              </a:graphicData>
            </a:graphic>
          </wp:inline>
        </w:drawing>
      </w:r>
    </w:p>
    <w:p w:rsidR="000C6233" w:rsidRPr="00D52BE4" w:rsidRDefault="00192DBB">
      <w:pPr>
        <w:pStyle w:val="WB"/>
        <w:numPr>
          <w:ilvl w:val="0"/>
          <w:numId w:val="0"/>
        </w:numPr>
        <w:rPr>
          <w:sz w:val="20"/>
          <w:lang w:val="fr-FR" w:eastAsia="es-NI"/>
        </w:rPr>
      </w:pPr>
      <w:r w:rsidRPr="00D52BE4">
        <w:rPr>
          <w:sz w:val="20"/>
          <w:lang w:val="fr-FR" w:eastAsia="es-NI"/>
        </w:rPr>
        <w:t>Source: Texeira et al 2011a, Texeira et al 2011b.</w:t>
      </w:r>
    </w:p>
    <w:p w:rsidR="00767AAB" w:rsidRDefault="00767AAB" w:rsidP="00767AAB">
      <w:pPr>
        <w:pStyle w:val="WBReport"/>
      </w:pPr>
      <w:r w:rsidRPr="00767AAB">
        <w:rPr>
          <w:b/>
          <w:i/>
          <w:lang w:eastAsia="es-NI"/>
        </w:rPr>
        <w:t>The main technical limitation of the land use classification system utilized is that it is not possible to identify sown pasture or sown fodder crops.</w:t>
      </w:r>
      <w:r w:rsidRPr="00767AAB">
        <w:rPr>
          <w:i/>
          <w:lang w:eastAsia="es-NI"/>
        </w:rPr>
        <w:t xml:space="preserve"> </w:t>
      </w:r>
      <w:r w:rsidRPr="00767AAB">
        <w:rPr>
          <w:lang w:eastAsia="es-NI"/>
        </w:rPr>
        <w:t xml:space="preserve">This problem arises because of the low resolution of the NDVI imagery (5 km x 5 km): in general, sown pasture shows a lower resilience to adverse climatic and soil conditions; thus, the total planted area in SWBA is significantly less in comparison to areas devoted to natural pastures or grasslands. In this sense, when working with a pixel of 2,500 hectares such type of pastures or fodder crops are not displayed as such. On the other hand, the temporal specificity (monthly) does not allow the accurate detection of land cover changes throughout the </w:t>
      </w:r>
      <w:proofErr w:type="gramStart"/>
      <w:r w:rsidRPr="00767AAB">
        <w:rPr>
          <w:lang w:eastAsia="es-NI"/>
        </w:rPr>
        <w:t>year,</w:t>
      </w:r>
      <w:proofErr w:type="gramEnd"/>
      <w:r w:rsidRPr="00767AAB">
        <w:rPr>
          <w:lang w:eastAsia="es-NI"/>
        </w:rPr>
        <w:t xml:space="preserve"> therefore, it is not feasible to have a consistent NDVI database from which to conduct risk analysis for</w:t>
      </w:r>
      <w:r>
        <w:rPr>
          <w:lang w:eastAsia="es-NI"/>
        </w:rPr>
        <w:t xml:space="preserve"> this type of land cover areas.</w:t>
      </w:r>
    </w:p>
    <w:p w:rsidR="000C6233" w:rsidRPr="00FE24C0" w:rsidRDefault="001A24FC" w:rsidP="00767AAB">
      <w:pPr>
        <w:pStyle w:val="WBReport"/>
      </w:pPr>
      <w:r w:rsidRPr="00767AAB">
        <w:rPr>
          <w:b/>
          <w:i/>
          <w:lang w:eastAsia="es-NI"/>
        </w:rPr>
        <w:t>A further limitation applies to areas of mixed agriculture and grazing where more than 40% of the land in each pixel is annually ploughed and under different crop rotations and this prohibits the construction of a historical NDVI data base which is representative of pasture and grazing lands.</w:t>
      </w:r>
      <w:r w:rsidR="00192DBB" w:rsidRPr="00FE24C0">
        <w:rPr>
          <w:lang w:eastAsia="es-NI"/>
        </w:rPr>
        <w:t xml:space="preserve"> </w:t>
      </w:r>
      <w:r w:rsidRPr="00767AAB">
        <w:rPr>
          <w:lang w:eastAsia="es-NI"/>
        </w:rPr>
        <w:t xml:space="preserve">This problem applies especially in the northern </w:t>
      </w:r>
      <w:r w:rsidR="009B094D">
        <w:rPr>
          <w:lang w:eastAsia="es-NI"/>
        </w:rPr>
        <w:t>d</w:t>
      </w:r>
      <w:r w:rsidR="00865CC5">
        <w:rPr>
          <w:lang w:eastAsia="es-NI"/>
        </w:rPr>
        <w:t>epartments</w:t>
      </w:r>
      <w:r w:rsidRPr="00767AAB">
        <w:rPr>
          <w:lang w:eastAsia="es-NI"/>
        </w:rPr>
        <w:t xml:space="preserve"> of Adolfo Alsina and Guaminí which are important cereal producing areas but where there are also important concentrations of cattle breeding and cattle fattening. The same problem applies in the eastern </w:t>
      </w:r>
      <w:r w:rsidRPr="00767AAB">
        <w:rPr>
          <w:lang w:eastAsia="es-NI"/>
        </w:rPr>
        <w:lastRenderedPageBreak/>
        <w:t>district of Coronel Dorrego where there is also a very low number of livestock forage pixels (see Maps 4.1 and 4.2.). In areas where there are no qualifying forage resource pixels, the NDVI insurance policy cannot be offered to cattle producers.</w:t>
      </w:r>
    </w:p>
    <w:p w:rsidR="000C6233" w:rsidRPr="00767AAB" w:rsidRDefault="001A24FC" w:rsidP="00767AAB">
      <w:pPr>
        <w:pStyle w:val="WBReport"/>
        <w:rPr>
          <w:lang w:eastAsia="es-NI"/>
        </w:rPr>
      </w:pPr>
      <w:r w:rsidRPr="00767AAB">
        <w:rPr>
          <w:b/>
          <w:i/>
          <w:lang w:eastAsia="es-NI"/>
        </w:rPr>
        <w:t>There are big differences in the geographical area of each department and also in the area under natural pasture and grazing in SWBA.</w:t>
      </w:r>
      <w:r w:rsidRPr="00767AAB">
        <w:rPr>
          <w:b/>
          <w:lang w:eastAsia="es-NI"/>
        </w:rPr>
        <w:t xml:space="preserve"> </w:t>
      </w:r>
      <w:r w:rsidRPr="00767AAB">
        <w:rPr>
          <w:lang w:eastAsia="es-NI"/>
        </w:rPr>
        <w:t>Reference to Table 4.2 shows that Patagones is the largest district with an estimated area from the satellite imagery of 1.5 million hectares or 20% of the total geographical area of SWBA, followed by Villarino, 1.2 million hectares (15% of total area). Patagones also has the largest area under pasture cover, estimated at 0.91 million hectares (23% of the total area of pasture in SWBA) with 365 pixels classified as having more than 60% of the area  under pasture, followed by Villarino (0.9 million Ha, 23% of total). At the other extreme, Guamini District has only 23 pixels or 57,500 Ha of land with more than 60% pasture coverage (1% of total pasture area in SWBA) and other very small livestock grazing departments include Adolfo Alsina (2% of total pasture area), Saavedra and Cnel Suarez (both 4% of grazing area). On the assumption that approximately 75% on average of the area of each pixel classified as more than or equal to 60% pasture cover is in fact under pasture, the total area of pasture and grazing in SWBA approximates to 3 million hectares which is close to official MAGyP estimates.</w:t>
      </w:r>
    </w:p>
    <w:p w:rsidR="00192DBB" w:rsidRPr="00FE24C0" w:rsidRDefault="00192DBB" w:rsidP="00192DBB">
      <w:pPr>
        <w:pStyle w:val="HeadFiguresTablesBoxes"/>
      </w:pPr>
      <w:proofErr w:type="gramStart"/>
      <w:r w:rsidRPr="00FE24C0">
        <w:t>Table 4.2.</w:t>
      </w:r>
      <w:proofErr w:type="gramEnd"/>
      <w:r w:rsidRPr="00FE24C0">
        <w:t xml:space="preserve"> Estimated Pasture Area (Ha) per District from Remote Sensing Imagery</w:t>
      </w:r>
    </w:p>
    <w:tbl>
      <w:tblPr>
        <w:tblW w:w="8555" w:type="dxa"/>
        <w:tblInd w:w="103" w:type="dxa"/>
        <w:tblLook w:val="04A0"/>
      </w:tblPr>
      <w:tblGrid>
        <w:gridCol w:w="1445"/>
        <w:gridCol w:w="1260"/>
        <w:gridCol w:w="1170"/>
        <w:gridCol w:w="900"/>
        <w:gridCol w:w="1350"/>
        <w:gridCol w:w="1350"/>
        <w:gridCol w:w="1080"/>
      </w:tblGrid>
      <w:tr w:rsidR="00192DBB" w:rsidRPr="00FE24C0" w:rsidTr="00C01675">
        <w:trPr>
          <w:trHeight w:val="654"/>
        </w:trPr>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District</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Total Pixels</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Total Area (Ha)</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 Total area</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No. pixels =&gt; 60% of area pasture</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Maximum Pasture Area (Ha)</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 of Pasture area</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Adolfo Alsina</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253</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632,500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8%</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35</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87,500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Bahia Blanca</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98</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245,000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82</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205,000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Cnel Rosales</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62</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155,000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30</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75,000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Cnel Dorrego</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249</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622,500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8%</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38</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95,000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Cnel Pringles</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230</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575,000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8%</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166</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415,000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10%</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Cnel Suarez</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256</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640,000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67</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167,500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4%</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Guamini</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208</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520,000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7%</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23</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Patagones</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605</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1,512,500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20%</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365</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912,500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23%</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Puan</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270</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675,000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211</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527,500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13%</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Saavedra</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144</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360,000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59</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147,500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4%</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Tonorquist</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173</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432,500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6%</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155</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387,500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10%</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color w:val="000000"/>
                <w:sz w:val="18"/>
                <w:szCs w:val="18"/>
                <w:lang w:eastAsia="en-GB"/>
              </w:rPr>
            </w:pPr>
            <w:r w:rsidRPr="00FE24C0">
              <w:rPr>
                <w:rFonts w:eastAsia="Times New Roman"/>
                <w:color w:val="000000"/>
                <w:sz w:val="18"/>
                <w:szCs w:val="18"/>
                <w:lang w:eastAsia="en-GB"/>
              </w:rPr>
              <w:t>Villarino</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458</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1,145,000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15%</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360</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900,000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color w:val="000000"/>
                <w:sz w:val="18"/>
                <w:szCs w:val="18"/>
                <w:lang w:eastAsia="en-GB"/>
              </w:rPr>
            </w:pPr>
            <w:r w:rsidRPr="00FE24C0">
              <w:rPr>
                <w:rFonts w:eastAsia="Times New Roman"/>
                <w:color w:val="000000"/>
                <w:sz w:val="18"/>
                <w:szCs w:val="18"/>
                <w:lang w:eastAsia="en-GB"/>
              </w:rPr>
              <w:t>23%</w:t>
            </w:r>
          </w:p>
        </w:tc>
      </w:tr>
      <w:tr w:rsidR="00192DBB" w:rsidRPr="00FE24C0" w:rsidTr="00C01675">
        <w:trPr>
          <w:trHeight w:val="300"/>
        </w:trPr>
        <w:tc>
          <w:tcPr>
            <w:tcW w:w="1445" w:type="dxa"/>
            <w:tcBorders>
              <w:top w:val="nil"/>
              <w:left w:val="single" w:sz="4" w:space="0" w:color="auto"/>
              <w:bottom w:val="single" w:sz="4" w:space="0" w:color="auto"/>
              <w:right w:val="single" w:sz="4" w:space="0" w:color="auto"/>
            </w:tcBorders>
            <w:shd w:val="clear" w:color="auto" w:fill="auto"/>
            <w:noWrap/>
            <w:vAlign w:val="bottom"/>
            <w:hideMark/>
          </w:tcPr>
          <w:p w:rsidR="00192DBB" w:rsidRPr="00FE24C0" w:rsidRDefault="00192DBB" w:rsidP="0076546B">
            <w:pPr>
              <w:spacing w:after="0"/>
              <w:jc w:val="left"/>
              <w:rPr>
                <w:rFonts w:eastAsia="Times New Roman"/>
                <w:b/>
                <w:bCs/>
                <w:color w:val="000000"/>
                <w:sz w:val="18"/>
                <w:szCs w:val="18"/>
                <w:lang w:eastAsia="en-GB"/>
              </w:rPr>
            </w:pPr>
            <w:r w:rsidRPr="00FE24C0">
              <w:rPr>
                <w:rFonts w:eastAsia="Times New Roman"/>
                <w:b/>
                <w:bCs/>
                <w:color w:val="000000"/>
                <w:sz w:val="18"/>
                <w:szCs w:val="18"/>
                <w:lang w:eastAsia="en-GB"/>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3,006</w:t>
            </w:r>
          </w:p>
        </w:tc>
        <w:tc>
          <w:tcPr>
            <w:tcW w:w="117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7,515,000</w:t>
            </w:r>
          </w:p>
        </w:tc>
        <w:tc>
          <w:tcPr>
            <w:tcW w:w="90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100%</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1,591</w:t>
            </w:r>
          </w:p>
        </w:tc>
        <w:tc>
          <w:tcPr>
            <w:tcW w:w="135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3,977,500</w:t>
            </w:r>
          </w:p>
        </w:tc>
        <w:tc>
          <w:tcPr>
            <w:tcW w:w="1080" w:type="dxa"/>
            <w:tcBorders>
              <w:top w:val="nil"/>
              <w:left w:val="nil"/>
              <w:bottom w:val="single" w:sz="4" w:space="0" w:color="auto"/>
              <w:right w:val="single" w:sz="4" w:space="0" w:color="auto"/>
            </w:tcBorders>
            <w:shd w:val="clear" w:color="auto" w:fill="auto"/>
            <w:noWrap/>
            <w:vAlign w:val="bottom"/>
            <w:hideMark/>
          </w:tcPr>
          <w:p w:rsidR="00192DBB" w:rsidRPr="00FE24C0" w:rsidRDefault="00192DBB" w:rsidP="0076546B">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100%</w:t>
            </w:r>
          </w:p>
        </w:tc>
      </w:tr>
    </w:tbl>
    <w:p w:rsidR="00192DBB" w:rsidRPr="00FE24C0" w:rsidRDefault="00192DBB" w:rsidP="00192DBB">
      <w:pPr>
        <w:pStyle w:val="Source"/>
      </w:pPr>
      <w:r w:rsidRPr="00FE24C0">
        <w:t>Source: Authors</w:t>
      </w:r>
    </w:p>
    <w:p w:rsidR="00192DBB" w:rsidRPr="00FE24C0" w:rsidRDefault="00192DBB" w:rsidP="00A26F1F">
      <w:pPr>
        <w:pStyle w:val="APSubheading"/>
      </w:pPr>
    </w:p>
    <w:p w:rsidR="00857987" w:rsidRPr="00FE24C0" w:rsidRDefault="00857987" w:rsidP="00AF73A4">
      <w:pPr>
        <w:pStyle w:val="APDroughtPara"/>
        <w:numPr>
          <w:ilvl w:val="0"/>
          <w:numId w:val="0"/>
        </w:numPr>
        <w:outlineLvl w:val="9"/>
        <w:rPr>
          <w:szCs w:val="22"/>
        </w:rPr>
      </w:pPr>
    </w:p>
    <w:p w:rsidR="00857987" w:rsidRPr="00FE24C0" w:rsidRDefault="00693029" w:rsidP="00693029">
      <w:pPr>
        <w:pStyle w:val="APDroughtPara"/>
        <w:numPr>
          <w:ilvl w:val="0"/>
          <w:numId w:val="0"/>
        </w:numPr>
        <w:outlineLvl w:val="9"/>
        <w:rPr>
          <w:szCs w:val="22"/>
        </w:rPr>
      </w:pPr>
      <w:r w:rsidRPr="00FE24C0">
        <w:rPr>
          <w:szCs w:val="22"/>
        </w:rPr>
        <w:br w:type="page"/>
      </w:r>
    </w:p>
    <w:p w:rsidR="007560AA" w:rsidRPr="00FE24C0" w:rsidRDefault="002146A5" w:rsidP="00D830D0">
      <w:pPr>
        <w:pStyle w:val="Ttulo1"/>
        <w:rPr>
          <w:rFonts w:cs="Times New Roman"/>
        </w:rPr>
      </w:pPr>
      <w:bookmarkStart w:id="29" w:name="_Toc332274325"/>
      <w:bookmarkStart w:id="30" w:name="_Toc345794268"/>
      <w:r w:rsidRPr="00FE24C0">
        <w:rPr>
          <w:rFonts w:cs="Times New Roman"/>
        </w:rPr>
        <w:lastRenderedPageBreak/>
        <w:t>NDVI</w:t>
      </w:r>
      <w:r w:rsidR="00A26F1F" w:rsidRPr="00FE24C0">
        <w:rPr>
          <w:rFonts w:cs="Times New Roman"/>
        </w:rPr>
        <w:t xml:space="preserve"> Pasture </w:t>
      </w:r>
      <w:r w:rsidR="009D70DF" w:rsidRPr="00FE24C0">
        <w:rPr>
          <w:rFonts w:cs="Times New Roman"/>
        </w:rPr>
        <w:t xml:space="preserve">Index </w:t>
      </w:r>
      <w:r w:rsidR="00A26F1F" w:rsidRPr="00FE24C0">
        <w:rPr>
          <w:rFonts w:cs="Times New Roman"/>
        </w:rPr>
        <w:t>Insurance</w:t>
      </w:r>
      <w:r w:rsidR="009D70DF" w:rsidRPr="00FE24C0">
        <w:rPr>
          <w:rFonts w:cs="Times New Roman"/>
        </w:rPr>
        <w:t>:</w:t>
      </w:r>
      <w:r w:rsidRPr="00FE24C0">
        <w:rPr>
          <w:rFonts w:cs="Times New Roman"/>
        </w:rPr>
        <w:t xml:space="preserve"> Product Design and Rating</w:t>
      </w:r>
      <w:bookmarkEnd w:id="29"/>
      <w:bookmarkEnd w:id="30"/>
    </w:p>
    <w:p w:rsidR="000C6233" w:rsidRPr="00764792" w:rsidRDefault="001A24FC" w:rsidP="00764792">
      <w:pPr>
        <w:pStyle w:val="WBReport"/>
        <w:rPr>
          <w:lang w:eastAsia="es-NI"/>
        </w:rPr>
      </w:pPr>
      <w:r w:rsidRPr="00764792">
        <w:rPr>
          <w:b/>
          <w:i/>
          <w:lang w:eastAsia="es-NI"/>
        </w:rPr>
        <w:t>This Chapter presents full details of the proposed NDVI Pasture Index Insurance Product Cover Design and Rating Methodology for livestock producers located in SWBA.</w:t>
      </w:r>
      <w:r w:rsidR="009D70DF" w:rsidRPr="00FE24C0">
        <w:t xml:space="preserve"> </w:t>
      </w:r>
      <w:r w:rsidRPr="00764792">
        <w:rPr>
          <w:lang w:eastAsia="es-NI"/>
        </w:rPr>
        <w:t>The first part of the Chapter presents the prototype cover design options and features. This is followed by a detailed description of the actuarial and rating methodology used to establish pure loss costs rates and adjusted technical rates for each of the cover design options and Insured Units. The final part of this section outlines the methodology used to establish the probable maximum loss (PML) expected on this NDVI program for different return periods.</w:t>
      </w:r>
    </w:p>
    <w:p w:rsidR="000C6233" w:rsidRPr="00FE24C0" w:rsidRDefault="009D70DF" w:rsidP="00764792">
      <w:pPr>
        <w:pStyle w:val="Subttulo"/>
      </w:pPr>
      <w:bookmarkStart w:id="31" w:name="_Toc345794269"/>
      <w:r w:rsidRPr="00FE24C0">
        <w:t>Insured Interest and Rationale for Macro-Level NDVI Cover</w:t>
      </w:r>
      <w:bookmarkEnd w:id="31"/>
      <w:r w:rsidRPr="00FE24C0">
        <w:t xml:space="preserve"> </w:t>
      </w:r>
    </w:p>
    <w:p w:rsidR="000C6233" w:rsidRPr="00764792" w:rsidRDefault="00DE6DEB" w:rsidP="00764792">
      <w:pPr>
        <w:pStyle w:val="WBReport"/>
      </w:pPr>
      <w:r w:rsidRPr="00764792">
        <w:rPr>
          <w:b/>
          <w:i/>
        </w:rPr>
        <w:t>Parametric or index insurance is a very flexible agricultural insurance tool which can be designed to operate at different levels of aggregation ranging from the individual livestock produ</w:t>
      </w:r>
      <w:r w:rsidR="00297B11" w:rsidRPr="00764792">
        <w:rPr>
          <w:b/>
          <w:i/>
        </w:rPr>
        <w:t>cer</w:t>
      </w:r>
      <w:r w:rsidRPr="00764792">
        <w:rPr>
          <w:b/>
          <w:i/>
        </w:rPr>
        <w:t xml:space="preserve"> through to the </w:t>
      </w:r>
      <w:r w:rsidR="00855F76" w:rsidRPr="00764792">
        <w:rPr>
          <w:b/>
          <w:i/>
        </w:rPr>
        <w:t xml:space="preserve">level of </w:t>
      </w:r>
      <w:r w:rsidR="00C75FB7" w:rsidRPr="00764792">
        <w:rPr>
          <w:b/>
          <w:i/>
        </w:rPr>
        <w:t xml:space="preserve">the </w:t>
      </w:r>
      <w:r w:rsidRPr="00764792">
        <w:rPr>
          <w:b/>
          <w:i/>
        </w:rPr>
        <w:t>national government.</w:t>
      </w:r>
      <w:r w:rsidR="001A24FC" w:rsidRPr="00FE24C0">
        <w:t xml:space="preserve"> </w:t>
      </w:r>
      <w:r w:rsidR="001A24FC" w:rsidRPr="00764792">
        <w:t>To start with, index cover can be offered to the individual farmer or livestock producer (termed micro-level insurance); at an intermediate level of aggregation the product can be designed to protect the financial interest of an agricultural service organization such as an input supplier, or a rural bank (termed meso-level insurance); and then finally, index insurance can be offered to regional or national governments to protect their financial interests in the event of major catastrophe loss events (termed macro-level insurance). The differences between micro-level and macro-level index insurance programs are illustrated in Figure 5.1.</w:t>
      </w:r>
    </w:p>
    <w:p w:rsidR="003E0D7B" w:rsidRDefault="00825ACB" w:rsidP="00D96CE8">
      <w:pPr>
        <w:pStyle w:val="HeadFiguresTablesBoxes"/>
      </w:pPr>
      <w:proofErr w:type="gramStart"/>
      <w:r w:rsidRPr="00FE24C0">
        <w:t>Figure 5</w:t>
      </w:r>
      <w:r w:rsidR="003E0D7B" w:rsidRPr="00FE24C0">
        <w:t>.1.</w:t>
      </w:r>
      <w:proofErr w:type="gramEnd"/>
      <w:r w:rsidR="003E0D7B" w:rsidRPr="00FE24C0">
        <w:t xml:space="preserve">  Comparison of </w:t>
      </w:r>
      <w:r w:rsidR="00937F0B" w:rsidRPr="00FE24C0">
        <w:t>Organizational</w:t>
      </w:r>
      <w:r w:rsidR="003E0D7B" w:rsidRPr="00FE24C0">
        <w:t xml:space="preserve"> Structure for Micro-Level and Macro-level NDVI Insurance program in SWBA</w:t>
      </w:r>
    </w:p>
    <w:p w:rsidR="00F53B14" w:rsidRDefault="00E2141D" w:rsidP="00D96CE8">
      <w:pPr>
        <w:pStyle w:val="HeadFiguresTablesBoxes"/>
      </w:pPr>
      <w:r>
        <w:rPr>
          <w:noProof/>
          <w:lang w:val="es-AR" w:eastAsia="es-AR"/>
        </w:rPr>
        <w:drawing>
          <wp:inline distT="0" distB="0" distL="0" distR="0">
            <wp:extent cx="5146040" cy="2722245"/>
            <wp:effectExtent l="0" t="0" r="0" b="0"/>
            <wp:docPr id="22"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5725" cy="4068414"/>
                      <a:chOff x="1042988" y="1341438"/>
                      <a:chExt cx="7705725" cy="4068414"/>
                    </a:xfrm>
                  </a:grpSpPr>
                  <a:grpSp>
                    <a:nvGrpSpPr>
                      <a:cNvPr id="2" name="Group 2"/>
                      <a:cNvGrpSpPr>
                        <a:grpSpLocks/>
                      </a:cNvGrpSpPr>
                    </a:nvGrpSpPr>
                    <a:grpSpPr bwMode="auto">
                      <a:xfrm>
                        <a:off x="1042988" y="1341438"/>
                        <a:ext cx="7705725" cy="4068414"/>
                        <a:chOff x="249" y="845"/>
                        <a:chExt cx="4990" cy="2700"/>
                      </a:xfrm>
                    </a:grpSpPr>
                    <a:sp>
                      <a:nvSpPr>
                        <a:cNvPr id="9229" name="AutoShape 3"/>
                        <a:cNvSpPr>
                          <a:spLocks noChangeAspect="1" noChangeArrowheads="1"/>
                        </a:cNvSpPr>
                      </a:nvSpPr>
                      <a:spPr bwMode="auto">
                        <a:xfrm>
                          <a:off x="249" y="845"/>
                          <a:ext cx="4990" cy="2676"/>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30" name="Text Box 4"/>
                        <a:cNvSpPr txBox="1">
                          <a:spLocks noChangeArrowheads="1"/>
                        </a:cNvSpPr>
                      </a:nvSpPr>
                      <a:spPr bwMode="auto">
                        <a:xfrm>
                          <a:off x="457" y="1323"/>
                          <a:ext cx="832" cy="287"/>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400" b="1">
                                <a:solidFill>
                                  <a:srgbClr val="000000"/>
                                </a:solidFill>
                                <a:latin typeface="Tahoma" pitchFamily="34" charset="0"/>
                                <a:ea typeface="Batang" pitchFamily="18" charset="-127"/>
                              </a:rPr>
                              <a:t>Insurer</a:t>
                            </a:r>
                            <a:endParaRPr lang="en-US" sz="1400" b="1">
                              <a:solidFill>
                                <a:srgbClr val="000000"/>
                              </a:solidFill>
                              <a:latin typeface="Tahoma" pitchFamily="34" charset="0"/>
                              <a:ea typeface="Batang" pitchFamily="18" charset="-127"/>
                            </a:endParaRPr>
                          </a:p>
                        </a:txBody>
                        <a:useSpRect/>
                      </a:txSp>
                    </a:sp>
                    <a:sp>
                      <a:nvSpPr>
                        <a:cNvPr id="9231" name="Text Box 5"/>
                        <a:cNvSpPr txBox="1">
                          <a:spLocks noChangeArrowheads="1"/>
                        </a:cNvSpPr>
                      </a:nvSpPr>
                      <a:spPr bwMode="auto">
                        <a:xfrm>
                          <a:off x="457" y="2183"/>
                          <a:ext cx="832" cy="287"/>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400" b="1">
                                <a:solidFill>
                                  <a:srgbClr val="000000"/>
                                </a:solidFill>
                                <a:latin typeface="Tahoma" pitchFamily="34" charset="0"/>
                                <a:ea typeface="Batang" pitchFamily="18" charset="-127"/>
                              </a:rPr>
                              <a:t>Distributor</a:t>
                            </a:r>
                            <a:endParaRPr lang="en-US" sz="1400" b="1">
                              <a:solidFill>
                                <a:srgbClr val="000000"/>
                              </a:solidFill>
                              <a:latin typeface="Tahoma" pitchFamily="34" charset="0"/>
                              <a:ea typeface="Batang" pitchFamily="18" charset="-127"/>
                            </a:endParaRPr>
                          </a:p>
                        </a:txBody>
                        <a:useSpRect/>
                      </a:txSp>
                    </a:sp>
                    <a:sp>
                      <a:nvSpPr>
                        <a:cNvPr id="9232" name="Text Box 6"/>
                        <a:cNvSpPr txBox="1">
                          <a:spLocks noChangeArrowheads="1"/>
                        </a:cNvSpPr>
                      </a:nvSpPr>
                      <a:spPr bwMode="auto">
                        <a:xfrm>
                          <a:off x="457" y="3162"/>
                          <a:ext cx="1633" cy="383"/>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200" dirty="0">
                                <a:solidFill>
                                  <a:srgbClr val="000099"/>
                                </a:solidFill>
                                <a:latin typeface="Times New Roman" pitchFamily="18" charset="0"/>
                                <a:ea typeface="Batang" pitchFamily="18" charset="-127"/>
                                <a:cs typeface="Times New Roman" pitchFamily="18" charset="0"/>
                              </a:rPr>
                              <a:t>Policyholder is</a:t>
                            </a:r>
                          </a:p>
                          <a:p>
                            <a:pPr algn="ctr"/>
                            <a:r>
                              <a:rPr lang="en-GB" altLang="ko-KR" sz="1200" b="1" dirty="0" smtClean="0">
                                <a:solidFill>
                                  <a:srgbClr val="000099"/>
                                </a:solidFill>
                                <a:latin typeface="Times New Roman" pitchFamily="18" charset="0"/>
                                <a:ea typeface="Batang" pitchFamily="18" charset="-127"/>
                                <a:cs typeface="Times New Roman" pitchFamily="18" charset="0"/>
                              </a:rPr>
                              <a:t>The individual livestock (cattle) producer in SWBA</a:t>
                            </a:r>
                            <a:endParaRPr lang="en-US" sz="1200" dirty="0">
                              <a:solidFill>
                                <a:srgbClr val="000099"/>
                              </a:solidFill>
                              <a:latin typeface="Times New Roman" pitchFamily="18" charset="0"/>
                              <a:ea typeface="Batang" pitchFamily="18" charset="-127"/>
                              <a:cs typeface="Times New Roman" pitchFamily="18" charset="0"/>
                            </a:endParaRPr>
                          </a:p>
                        </a:txBody>
                        <a:useSpRect/>
                      </a:txSp>
                    </a:sp>
                    <a:sp>
                      <a:nvSpPr>
                        <a:cNvPr id="9233" name="Text Box 7"/>
                        <a:cNvSpPr txBox="1">
                          <a:spLocks noChangeArrowheads="1"/>
                        </a:cNvSpPr>
                      </a:nvSpPr>
                      <a:spPr bwMode="auto">
                        <a:xfrm>
                          <a:off x="457" y="940"/>
                          <a:ext cx="2183" cy="287"/>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600" b="1">
                                <a:solidFill>
                                  <a:srgbClr val="000000"/>
                                </a:solidFill>
                                <a:latin typeface="Tahoma" pitchFamily="34" charset="0"/>
                                <a:ea typeface="Batang" pitchFamily="18" charset="-127"/>
                              </a:rPr>
                              <a:t>Micro-level insurance</a:t>
                            </a:r>
                            <a:r>
                              <a:rPr lang="en-GB" altLang="ko-KR" sz="1600" b="1">
                                <a:latin typeface="Tahoma" pitchFamily="34" charset="0"/>
                                <a:ea typeface="Batang" pitchFamily="18" charset="-127"/>
                              </a:rPr>
                              <a:t> program</a:t>
                            </a:r>
                            <a:endParaRPr lang="en-US" sz="1600">
                              <a:latin typeface="Tahoma" pitchFamily="34" charset="0"/>
                              <a:ea typeface="Batang" pitchFamily="18" charset="-127"/>
                            </a:endParaRPr>
                          </a:p>
                        </a:txBody>
                        <a:useSpRect/>
                      </a:txSp>
                    </a:sp>
                    <a:sp>
                      <a:nvSpPr>
                        <a:cNvPr id="9234" name="Line 8"/>
                        <a:cNvSpPr>
                          <a:spLocks noChangeShapeType="1"/>
                        </a:cNvSpPr>
                      </a:nvSpPr>
                      <a:spPr bwMode="auto">
                        <a:xfrm>
                          <a:off x="1054" y="2483"/>
                          <a:ext cx="0" cy="657"/>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35" name="Line 9"/>
                        <a:cNvSpPr>
                          <a:spLocks noChangeShapeType="1"/>
                        </a:cNvSpPr>
                      </a:nvSpPr>
                      <a:spPr bwMode="auto">
                        <a:xfrm flipH="1" flipV="1">
                          <a:off x="561" y="1610"/>
                          <a:ext cx="0" cy="573"/>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36" name="Line 10"/>
                        <a:cNvSpPr>
                          <a:spLocks noChangeShapeType="1"/>
                        </a:cNvSpPr>
                      </a:nvSpPr>
                      <a:spPr bwMode="auto">
                        <a:xfrm flipV="1">
                          <a:off x="560" y="2470"/>
                          <a:ext cx="1" cy="671"/>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37" name="Text Box 11"/>
                        <a:cNvSpPr txBox="1">
                          <a:spLocks noChangeArrowheads="1"/>
                        </a:cNvSpPr>
                      </a:nvSpPr>
                      <a:spPr bwMode="auto">
                        <a:xfrm>
                          <a:off x="1393" y="1705"/>
                          <a:ext cx="1247" cy="382"/>
                        </a:xfrm>
                        <a:prstGeom prst="rect">
                          <a:avLst/>
                        </a:prstGeom>
                        <a:solidFill>
                          <a:srgbClr val="FFFFFF"/>
                        </a:solidFill>
                        <a:ln w="9525">
                          <a:solidFill>
                            <a:srgbClr val="FF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200" b="1">
                                <a:solidFill>
                                  <a:srgbClr val="FF0000"/>
                                </a:solidFill>
                                <a:latin typeface="Tahoma" pitchFamily="34" charset="0"/>
                                <a:ea typeface="Batang" pitchFamily="18" charset="-127"/>
                              </a:rPr>
                              <a:t>Policies, premiums, claims</a:t>
                            </a:r>
                            <a:endParaRPr lang="en-US" sz="1200" b="1">
                              <a:latin typeface="Tahoma" pitchFamily="34" charset="0"/>
                              <a:ea typeface="Batang" pitchFamily="18" charset="-127"/>
                            </a:endParaRPr>
                          </a:p>
                        </a:txBody>
                        <a:useSpRect/>
                      </a:txSp>
                    </a:sp>
                    <a:sp>
                      <a:nvSpPr>
                        <a:cNvPr id="9238" name="Text Box 12"/>
                        <a:cNvSpPr txBox="1">
                          <a:spLocks noChangeArrowheads="1"/>
                        </a:cNvSpPr>
                      </a:nvSpPr>
                      <a:spPr bwMode="auto">
                        <a:xfrm>
                          <a:off x="1393" y="2565"/>
                          <a:ext cx="1247" cy="382"/>
                        </a:xfrm>
                        <a:prstGeom prst="rect">
                          <a:avLst/>
                        </a:prstGeom>
                        <a:solidFill>
                          <a:srgbClr val="FFFFFF"/>
                        </a:solidFill>
                        <a:ln w="9525">
                          <a:solidFill>
                            <a:srgbClr val="FF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200" b="1">
                                <a:solidFill>
                                  <a:srgbClr val="FF0000"/>
                                </a:solidFill>
                                <a:latin typeface="Tahoma" pitchFamily="34" charset="0"/>
                                <a:ea typeface="Batang" pitchFamily="18" charset="-127"/>
                              </a:rPr>
                              <a:t>Policies, premiums, claims</a:t>
                            </a:r>
                            <a:endParaRPr lang="en-US" sz="1200" b="1">
                              <a:latin typeface="Tahoma" pitchFamily="34" charset="0"/>
                              <a:ea typeface="Batang" pitchFamily="18" charset="-127"/>
                            </a:endParaRPr>
                          </a:p>
                        </a:txBody>
                        <a:useSpRect/>
                      </a:txSp>
                    </a:sp>
                    <a:sp>
                      <a:nvSpPr>
                        <a:cNvPr id="9239" name="Text Box 13"/>
                        <a:cNvSpPr txBox="1">
                          <a:spLocks noChangeArrowheads="1"/>
                        </a:cNvSpPr>
                      </a:nvSpPr>
                      <a:spPr bwMode="auto">
                        <a:xfrm>
                          <a:off x="2952" y="940"/>
                          <a:ext cx="2287" cy="287"/>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600" b="1" dirty="0" smtClean="0">
                                <a:solidFill>
                                  <a:srgbClr val="000000"/>
                                </a:solidFill>
                                <a:latin typeface="Tahoma" pitchFamily="34" charset="0"/>
                                <a:ea typeface="Batang" pitchFamily="18" charset="-127"/>
                              </a:rPr>
                              <a:t>Macro-level </a:t>
                            </a:r>
                            <a:r>
                              <a:rPr lang="en-GB" altLang="ko-KR" sz="1600" b="1" dirty="0">
                                <a:solidFill>
                                  <a:srgbClr val="000000"/>
                                </a:solidFill>
                                <a:latin typeface="Tahoma" pitchFamily="34" charset="0"/>
                                <a:ea typeface="Batang" pitchFamily="18" charset="-127"/>
                              </a:rPr>
                              <a:t>insurance program</a:t>
                            </a:r>
                            <a:endParaRPr lang="en-US" sz="1600" dirty="0">
                              <a:solidFill>
                                <a:srgbClr val="000000"/>
                              </a:solidFill>
                              <a:latin typeface="Tahoma" pitchFamily="34" charset="0"/>
                              <a:ea typeface="Batang" pitchFamily="18" charset="-127"/>
                            </a:endParaRPr>
                          </a:p>
                        </a:txBody>
                        <a:useSpRect/>
                      </a:txSp>
                    </a:sp>
                    <a:sp>
                      <a:nvSpPr>
                        <a:cNvPr id="9240" name="Text Box 14"/>
                        <a:cNvSpPr txBox="1">
                          <a:spLocks noChangeArrowheads="1"/>
                        </a:cNvSpPr>
                      </a:nvSpPr>
                      <a:spPr bwMode="auto">
                        <a:xfrm>
                          <a:off x="2952" y="1323"/>
                          <a:ext cx="832" cy="287"/>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400" b="1">
                                <a:solidFill>
                                  <a:srgbClr val="000000"/>
                                </a:solidFill>
                                <a:latin typeface="Tahoma" pitchFamily="34" charset="0"/>
                                <a:ea typeface="Batang" pitchFamily="18" charset="-127"/>
                              </a:rPr>
                              <a:t>Insurer</a:t>
                            </a:r>
                            <a:endParaRPr lang="en-US" sz="1400" b="1">
                              <a:solidFill>
                                <a:srgbClr val="000000"/>
                              </a:solidFill>
                              <a:latin typeface="Tahoma" pitchFamily="34" charset="0"/>
                              <a:ea typeface="Batang" pitchFamily="18" charset="-127"/>
                            </a:endParaRPr>
                          </a:p>
                        </a:txBody>
                        <a:useSpRect/>
                      </a:txSp>
                    </a:sp>
                    <a:sp>
                      <a:nvSpPr>
                        <a:cNvPr id="9241" name="Text Box 15"/>
                        <a:cNvSpPr txBox="1">
                          <a:spLocks noChangeArrowheads="1"/>
                        </a:cNvSpPr>
                      </a:nvSpPr>
                      <a:spPr bwMode="auto">
                        <a:xfrm>
                          <a:off x="3992" y="1705"/>
                          <a:ext cx="1247" cy="382"/>
                        </a:xfrm>
                        <a:prstGeom prst="rect">
                          <a:avLst/>
                        </a:prstGeom>
                        <a:solidFill>
                          <a:srgbClr val="FFFFFF"/>
                        </a:solidFill>
                        <a:ln w="9525">
                          <a:solidFill>
                            <a:srgbClr val="FF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200" b="1">
                                <a:solidFill>
                                  <a:srgbClr val="FF0000"/>
                                </a:solidFill>
                                <a:latin typeface="Tahoma" pitchFamily="34" charset="0"/>
                                <a:ea typeface="Batang" pitchFamily="18" charset="-127"/>
                              </a:rPr>
                              <a:t>Policies, premiums,</a:t>
                            </a:r>
                            <a:r>
                              <a:rPr lang="en-GB" altLang="ko-KR" sz="1200">
                                <a:solidFill>
                                  <a:srgbClr val="FF0000"/>
                                </a:solidFill>
                                <a:latin typeface="Tahoma" pitchFamily="34" charset="0"/>
                                <a:ea typeface="Batang" pitchFamily="18" charset="-127"/>
                              </a:rPr>
                              <a:t> </a:t>
                            </a:r>
                            <a:r>
                              <a:rPr lang="en-GB" altLang="ko-KR" sz="1200" b="1">
                                <a:solidFill>
                                  <a:srgbClr val="FF0000"/>
                                </a:solidFill>
                                <a:latin typeface="Tahoma" pitchFamily="34" charset="0"/>
                                <a:ea typeface="Batang" pitchFamily="18" charset="-127"/>
                              </a:rPr>
                              <a:t>claims</a:t>
                            </a:r>
                            <a:endParaRPr lang="en-US" sz="1200" b="1">
                              <a:latin typeface="Tahoma" pitchFamily="34" charset="0"/>
                              <a:ea typeface="Batang" pitchFamily="18" charset="-127"/>
                            </a:endParaRPr>
                          </a:p>
                        </a:txBody>
                        <a:useSpRect/>
                      </a:txSp>
                    </a:sp>
                    <a:sp>
                      <a:nvSpPr>
                        <a:cNvPr id="9242" name="Text Box 16"/>
                        <a:cNvSpPr txBox="1">
                          <a:spLocks noChangeArrowheads="1"/>
                        </a:cNvSpPr>
                      </a:nvSpPr>
                      <a:spPr bwMode="auto">
                        <a:xfrm>
                          <a:off x="2952" y="2183"/>
                          <a:ext cx="1803" cy="476"/>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200" dirty="0">
                                <a:solidFill>
                                  <a:srgbClr val="000099"/>
                                </a:solidFill>
                                <a:latin typeface="Tahoma" pitchFamily="34" charset="0"/>
                                <a:ea typeface="Batang" pitchFamily="18" charset="-127"/>
                              </a:rPr>
                              <a:t>Policyholder is </a:t>
                            </a:r>
                            <a:r>
                              <a:rPr lang="en-GB" altLang="ko-KR" sz="1200" b="1" dirty="0" smtClean="0">
                                <a:solidFill>
                                  <a:srgbClr val="000099"/>
                                </a:solidFill>
                                <a:latin typeface="Tahoma" pitchFamily="34" charset="0"/>
                                <a:ea typeface="Batang" pitchFamily="18" charset="-127"/>
                              </a:rPr>
                              <a:t>National Government, and/or Provincial and/or Municipal Government</a:t>
                            </a:r>
                            <a:endParaRPr lang="en-US" sz="1200" dirty="0">
                              <a:solidFill>
                                <a:srgbClr val="000099"/>
                              </a:solidFill>
                              <a:latin typeface="Tahoma" pitchFamily="34" charset="0"/>
                              <a:ea typeface="Batang" pitchFamily="18" charset="-127"/>
                            </a:endParaRPr>
                          </a:p>
                        </a:txBody>
                        <a:useSpRect/>
                      </a:txSp>
                    </a:sp>
                    <a:sp>
                      <a:nvSpPr>
                        <a:cNvPr id="9243" name="Text Box 17"/>
                        <a:cNvSpPr txBox="1">
                          <a:spLocks noChangeArrowheads="1"/>
                        </a:cNvSpPr>
                      </a:nvSpPr>
                      <a:spPr bwMode="auto">
                        <a:xfrm>
                          <a:off x="2952" y="3176"/>
                          <a:ext cx="1309" cy="345"/>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400" b="1" dirty="0" smtClean="0">
                                <a:solidFill>
                                  <a:srgbClr val="000000"/>
                                </a:solidFill>
                                <a:latin typeface="Times New Roman" pitchFamily="18" charset="0"/>
                                <a:ea typeface="Batang" pitchFamily="18" charset="-127"/>
                                <a:cs typeface="Times New Roman" pitchFamily="18" charset="0"/>
                              </a:rPr>
                              <a:t>Livestock (Cattle) Producers in SWBA</a:t>
                            </a:r>
                            <a:endParaRPr lang="en-US" sz="1400" b="1" dirty="0">
                              <a:solidFill>
                                <a:srgbClr val="000000"/>
                              </a:solidFill>
                              <a:latin typeface="Times New Roman" pitchFamily="18" charset="0"/>
                              <a:ea typeface="Batang" pitchFamily="18" charset="-127"/>
                              <a:cs typeface="Times New Roman" pitchFamily="18" charset="0"/>
                            </a:endParaRPr>
                          </a:p>
                        </a:txBody>
                        <a:useSpRect/>
                      </a:txSp>
                    </a:sp>
                    <a:sp>
                      <a:nvSpPr>
                        <a:cNvPr id="9244" name="Text Box 18"/>
                        <a:cNvSpPr txBox="1">
                          <a:spLocks noChangeArrowheads="1"/>
                        </a:cNvSpPr>
                      </a:nvSpPr>
                      <a:spPr bwMode="auto">
                        <a:xfrm>
                          <a:off x="3992" y="2686"/>
                          <a:ext cx="1247" cy="448"/>
                        </a:xfrm>
                        <a:prstGeom prst="rect">
                          <a:avLst/>
                        </a:prstGeom>
                        <a:solidFill>
                          <a:srgbClr val="FFFFFF"/>
                        </a:solidFill>
                        <a:ln w="9525">
                          <a:solidFill>
                            <a:srgbClr val="00008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altLang="ko-KR" sz="1400" b="1" dirty="0" smtClean="0">
                                <a:solidFill>
                                  <a:srgbClr val="000080"/>
                                </a:solidFill>
                                <a:latin typeface="Times New Roman" pitchFamily="18" charset="0"/>
                                <a:ea typeface="Batang" pitchFamily="18" charset="-127"/>
                                <a:cs typeface="Times New Roman" pitchFamily="18" charset="0"/>
                              </a:rPr>
                              <a:t>Government </a:t>
                            </a:r>
                            <a:r>
                              <a:rPr lang="en-GB" altLang="ko-KR" sz="1400" b="1" dirty="0">
                                <a:solidFill>
                                  <a:srgbClr val="000080"/>
                                </a:solidFill>
                                <a:latin typeface="Times New Roman" pitchFamily="18" charset="0"/>
                                <a:ea typeface="Batang" pitchFamily="18" charset="-127"/>
                                <a:cs typeface="Times New Roman" pitchFamily="18" charset="0"/>
                              </a:rPr>
                              <a:t>sets the payout </a:t>
                            </a:r>
                            <a:r>
                              <a:rPr lang="en-GB" altLang="ko-KR" sz="1400" b="1" dirty="0" smtClean="0">
                                <a:solidFill>
                                  <a:srgbClr val="000080"/>
                                </a:solidFill>
                                <a:latin typeface="Times New Roman" pitchFamily="18" charset="0"/>
                                <a:ea typeface="Batang" pitchFamily="18" charset="-127"/>
                                <a:cs typeface="Times New Roman" pitchFamily="18" charset="0"/>
                              </a:rPr>
                              <a:t>rules to livestock producers</a:t>
                            </a:r>
                            <a:r>
                              <a:rPr lang="en-GB" altLang="ko-KR" sz="1000" dirty="0" smtClean="0">
                                <a:solidFill>
                                  <a:srgbClr val="000080"/>
                                </a:solidFill>
                                <a:latin typeface="Times New Roman" pitchFamily="18" charset="0"/>
                                <a:ea typeface="Batang" pitchFamily="18" charset="-127"/>
                                <a:cs typeface="Times New Roman" pitchFamily="18" charset="0"/>
                              </a:rPr>
                              <a:t> </a:t>
                            </a:r>
                            <a:endParaRPr lang="en-US" dirty="0">
                              <a:latin typeface="Times New Roman" pitchFamily="18" charset="0"/>
                              <a:ea typeface="Batang" pitchFamily="18" charset="-127"/>
                              <a:cs typeface="Times New Roman" pitchFamily="18" charset="0"/>
                            </a:endParaRPr>
                          </a:p>
                        </a:txBody>
                        <a:useSpRect/>
                      </a:txSp>
                    </a:sp>
                    <a:sp>
                      <a:nvSpPr>
                        <a:cNvPr id="9245" name="Line 19"/>
                        <a:cNvSpPr>
                          <a:spLocks noChangeShapeType="1"/>
                        </a:cNvSpPr>
                      </a:nvSpPr>
                      <a:spPr bwMode="auto">
                        <a:xfrm flipV="1">
                          <a:off x="3056" y="1610"/>
                          <a:ext cx="0" cy="573"/>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46" name="Line 20"/>
                        <a:cNvSpPr>
                          <a:spLocks noChangeShapeType="1"/>
                        </a:cNvSpPr>
                      </a:nvSpPr>
                      <a:spPr bwMode="auto">
                        <a:xfrm>
                          <a:off x="1081" y="1610"/>
                          <a:ext cx="0" cy="573"/>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47" name="Line 21"/>
                        <a:cNvSpPr>
                          <a:spLocks noChangeShapeType="1"/>
                        </a:cNvSpPr>
                      </a:nvSpPr>
                      <a:spPr bwMode="auto">
                        <a:xfrm>
                          <a:off x="3576" y="1610"/>
                          <a:ext cx="0" cy="573"/>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48" name="Line 22"/>
                        <a:cNvSpPr>
                          <a:spLocks noChangeShapeType="1"/>
                        </a:cNvSpPr>
                      </a:nvSpPr>
                      <a:spPr bwMode="auto">
                        <a:xfrm flipV="1">
                          <a:off x="3056" y="2698"/>
                          <a:ext cx="0" cy="478"/>
                        </a:xfrm>
                        <a:prstGeom prst="line">
                          <a:avLst/>
                        </a:prstGeom>
                        <a:noFill/>
                        <a:ln w="9525">
                          <a:solidFill>
                            <a:srgbClr val="FF66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49" name="Line 23"/>
                        <a:cNvSpPr>
                          <a:spLocks noChangeShapeType="1"/>
                        </a:cNvSpPr>
                      </a:nvSpPr>
                      <a:spPr bwMode="auto">
                        <a:xfrm>
                          <a:off x="3576" y="2698"/>
                          <a:ext cx="0" cy="478"/>
                        </a:xfrm>
                        <a:prstGeom prst="line">
                          <a:avLst/>
                        </a:prstGeom>
                        <a:noFill/>
                        <a:ln w="9525">
                          <a:solidFill>
                            <a:srgbClr val="FF66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50" name="Line 24"/>
                        <a:cNvSpPr>
                          <a:spLocks noChangeShapeType="1"/>
                        </a:cNvSpPr>
                      </a:nvSpPr>
                      <a:spPr bwMode="auto">
                        <a:xfrm>
                          <a:off x="2120" y="1954"/>
                          <a:ext cx="0" cy="0"/>
                        </a:xfrm>
                        <a:prstGeom prst="line">
                          <a:avLst/>
                        </a:prstGeom>
                        <a:noFill/>
                        <a:ln w="9525">
                          <a:solidFill>
                            <a:srgbClr val="00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51" name="Line 25"/>
                        <a:cNvSpPr>
                          <a:spLocks noChangeShapeType="1"/>
                        </a:cNvSpPr>
                      </a:nvSpPr>
                      <a:spPr bwMode="auto">
                        <a:xfrm flipH="1">
                          <a:off x="1081" y="1896"/>
                          <a:ext cx="312" cy="0"/>
                        </a:xfrm>
                        <a:prstGeom prst="line">
                          <a:avLst/>
                        </a:prstGeom>
                        <a:noFill/>
                        <a:ln w="9525">
                          <a:solidFill>
                            <a:srgbClr val="FF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52" name="Line 26"/>
                        <a:cNvSpPr>
                          <a:spLocks noChangeShapeType="1"/>
                        </a:cNvSpPr>
                      </a:nvSpPr>
                      <a:spPr bwMode="auto">
                        <a:xfrm flipH="1">
                          <a:off x="1081" y="2756"/>
                          <a:ext cx="312" cy="0"/>
                        </a:xfrm>
                        <a:prstGeom prst="line">
                          <a:avLst/>
                        </a:prstGeom>
                        <a:noFill/>
                        <a:ln w="9525">
                          <a:solidFill>
                            <a:srgbClr val="FF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53" name="Line 27"/>
                        <a:cNvSpPr>
                          <a:spLocks noChangeShapeType="1"/>
                        </a:cNvSpPr>
                      </a:nvSpPr>
                      <a:spPr bwMode="auto">
                        <a:xfrm flipH="1">
                          <a:off x="3576" y="1896"/>
                          <a:ext cx="416" cy="0"/>
                        </a:xfrm>
                        <a:prstGeom prst="line">
                          <a:avLst/>
                        </a:prstGeom>
                        <a:noFill/>
                        <a:ln w="9525">
                          <a:solidFill>
                            <a:srgbClr val="FF000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54" name="Line 28"/>
                        <a:cNvSpPr>
                          <a:spLocks noChangeShapeType="1"/>
                        </a:cNvSpPr>
                      </a:nvSpPr>
                      <a:spPr bwMode="auto">
                        <a:xfrm flipH="1">
                          <a:off x="3571" y="2938"/>
                          <a:ext cx="416" cy="0"/>
                        </a:xfrm>
                        <a:prstGeom prst="line">
                          <a:avLst/>
                        </a:prstGeom>
                        <a:noFill/>
                        <a:ln w="9525">
                          <a:solidFill>
                            <a:srgbClr val="000080"/>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lc:lockedCanvas>
              </a:graphicData>
            </a:graphic>
          </wp:inline>
        </w:drawing>
      </w:r>
    </w:p>
    <w:p w:rsidR="00E2141D" w:rsidRDefault="003E0D7B">
      <w:pPr>
        <w:pStyle w:val="APDroughtPara"/>
        <w:numPr>
          <w:ilvl w:val="0"/>
          <w:numId w:val="0"/>
        </w:numPr>
        <w:tabs>
          <w:tab w:val="left" w:pos="839"/>
        </w:tabs>
        <w:outlineLvl w:val="9"/>
      </w:pPr>
      <w:r w:rsidRPr="00FE24C0">
        <w:t>Source: Authors</w:t>
      </w:r>
    </w:p>
    <w:p w:rsidR="000C6233" w:rsidRDefault="001A24FC" w:rsidP="00764792">
      <w:pPr>
        <w:pStyle w:val="WBReport"/>
      </w:pPr>
      <w:r w:rsidRPr="00764792">
        <w:rPr>
          <w:b/>
          <w:i/>
        </w:rPr>
        <w:t>In SWBA, the first step of the NDVI livestock pasture index insurance product design was to define the insured interest.</w:t>
      </w:r>
      <w:r w:rsidR="002146A5" w:rsidRPr="00764792">
        <w:rPr>
          <w:b/>
        </w:rPr>
        <w:t xml:space="preserve"> </w:t>
      </w:r>
      <w:r w:rsidRPr="00FE24C0">
        <w:t xml:space="preserve">The insured interest is the interest that exists when an insured person derives a financial or other kind of benefit from the continued existence of the insured object. The insured interest is intrinsically linked with the objective of the coverage. For the </w:t>
      </w:r>
      <w:r w:rsidRPr="00FE24C0">
        <w:lastRenderedPageBreak/>
        <w:t xml:space="preserve">purposes of this study the insurable interest was defined as that of the Federal Government or that of the Buenos Aires (BA) Province Government with regard to the cost of the financial assistance which they would have to incur in case of the occurrence of natural and climatic disasters affecting pasture and forage production in SWBA. Currently these disaster relief payments are financed under the </w:t>
      </w:r>
      <w:r w:rsidR="00F53B14">
        <w:t xml:space="preserve">National System for the Prevention and Mitigation of </w:t>
      </w:r>
      <w:r w:rsidRPr="00FE24C0">
        <w:t>Agricultural and Livestock Emergenc</w:t>
      </w:r>
      <w:r w:rsidR="00F53B14">
        <w:t xml:space="preserve">ies and Disasters </w:t>
      </w:r>
      <w:r w:rsidRPr="00FE24C0">
        <w:t>(</w:t>
      </w:r>
      <w:r w:rsidR="00F0345D" w:rsidRPr="00F0345D">
        <w:rPr>
          <w:i/>
        </w:rPr>
        <w:t>Sistema Nacional para la Prevenci</w:t>
      </w:r>
      <w:r w:rsidR="00F53B14">
        <w:rPr>
          <w:i/>
        </w:rPr>
        <w:t>ó</w:t>
      </w:r>
      <w:r w:rsidR="00F0345D" w:rsidRPr="00F0345D">
        <w:rPr>
          <w:i/>
        </w:rPr>
        <w:t>n y Mitigaci</w:t>
      </w:r>
      <w:r w:rsidR="00F53B14">
        <w:rPr>
          <w:i/>
        </w:rPr>
        <w:t>ó</w:t>
      </w:r>
      <w:r w:rsidR="00F0345D" w:rsidRPr="00F0345D">
        <w:rPr>
          <w:i/>
        </w:rPr>
        <w:t>n de Emergencias y Desastres Agropecuarios</w:t>
      </w:r>
      <w:r w:rsidRPr="00FE24C0">
        <w:t>) which is operated by the Federal and Provincial Governments of Argentina.</w:t>
      </w:r>
      <w:r w:rsidR="003E0D7B" w:rsidRPr="00FE24C0">
        <w:t xml:space="preserve">  </w:t>
      </w:r>
    </w:p>
    <w:p w:rsidR="000C6233" w:rsidRDefault="00557BE4" w:rsidP="00764792">
      <w:pPr>
        <w:pStyle w:val="WBReport"/>
      </w:pPr>
      <w:r w:rsidRPr="00764792">
        <w:rPr>
          <w:b/>
          <w:i/>
        </w:rPr>
        <w:t xml:space="preserve">There are several potential advantages for </w:t>
      </w:r>
      <w:r w:rsidR="000B72EA" w:rsidRPr="00764792">
        <w:rPr>
          <w:b/>
          <w:i/>
        </w:rPr>
        <w:t>g</w:t>
      </w:r>
      <w:r w:rsidRPr="00764792">
        <w:rPr>
          <w:b/>
          <w:i/>
        </w:rPr>
        <w:t xml:space="preserve">overnment of a Macro-level index insurance </w:t>
      </w:r>
      <w:r w:rsidR="00825ACB" w:rsidRPr="00764792">
        <w:rPr>
          <w:b/>
          <w:i/>
        </w:rPr>
        <w:t>program</w:t>
      </w:r>
      <w:r w:rsidRPr="00764792">
        <w:rPr>
          <w:b/>
          <w:i/>
        </w:rPr>
        <w:t xml:space="preserve"> over traditional ex-post </w:t>
      </w:r>
      <w:r w:rsidR="000B72EA" w:rsidRPr="00764792">
        <w:rPr>
          <w:b/>
          <w:i/>
        </w:rPr>
        <w:t>dis</w:t>
      </w:r>
      <w:r w:rsidRPr="00764792">
        <w:rPr>
          <w:b/>
          <w:i/>
        </w:rPr>
        <w:t>as</w:t>
      </w:r>
      <w:r w:rsidR="000B72EA" w:rsidRPr="00764792">
        <w:rPr>
          <w:b/>
          <w:i/>
        </w:rPr>
        <w:t>t</w:t>
      </w:r>
      <w:r w:rsidRPr="00764792">
        <w:rPr>
          <w:b/>
          <w:i/>
        </w:rPr>
        <w:t>er relief payments</w:t>
      </w:r>
      <w:r w:rsidR="001A24FC" w:rsidRPr="00764792">
        <w:rPr>
          <w:b/>
          <w:i/>
        </w:rPr>
        <w:t>.</w:t>
      </w:r>
      <w:r w:rsidRPr="00FE24C0">
        <w:t xml:space="preserve"> </w:t>
      </w:r>
      <w:r w:rsidR="001A24FC" w:rsidRPr="00764792">
        <w:t>These advantages include: i) through the payment of an up-front premium, governments can transfer to the insurance  market their unknown financial liability following a disaster in order to stabilize the fluctuation in the budget and ii) because claims payments are triggered by an index following an insured event, financial claims can be rapidly settled to governments to pay on to their small farmers rather than waiting several months for in-field damage assessments to be completed and compensation funds to be made available either out of contingency budgets or from international aid donors.</w:t>
      </w:r>
    </w:p>
    <w:p w:rsidR="000C6233" w:rsidRDefault="001A24FC" w:rsidP="00764792">
      <w:pPr>
        <w:pStyle w:val="WBReport"/>
      </w:pPr>
      <w:r w:rsidRPr="00764792">
        <w:rPr>
          <w:b/>
          <w:i/>
        </w:rPr>
        <w:t>The main objective of the Macro-level NDVI Pasture index based insurance coverage is to provide contingency payouts, based on the evolution of the NDVI in the SWBA, to the Federal Government or Provincial Government of Buenos Aires</w:t>
      </w:r>
      <w:r w:rsidRPr="00764792">
        <w:t xml:space="preserve"> in order to provide timely assistance to the livestock herders in case of the occurrence of natural calamities and to avoid major losses for not acting in time. In other words, it is proposed that the NDVI pasture index cover would be a macro-level insurance product which would be bought by government as a financial instrument to protect its budget </w:t>
      </w:r>
      <w:r w:rsidR="00B361E7">
        <w:t xml:space="preserve">for emergency intervention </w:t>
      </w:r>
      <w:r w:rsidRPr="00764792">
        <w:t xml:space="preserve">in years of catastrophe (mainly drought) induced losses in the livestock sector and to ensure ex-ante timely payouts to livestock producers in areas where the quantity and quality of pasture is seriously reduced. Under the proposed macro-level insurance program, all ± 8,000 cattle producers located in the qualifying pasture areas of SWBA would be automatically registered with the insurer(s) along with their individual livestock holding details (the number of cattle in each eligible category of livestock) and where the NDVI cover is triggered they would be the beneficiaries of the financial payouts. </w:t>
      </w:r>
    </w:p>
    <w:p w:rsidR="00764792" w:rsidRDefault="00F7481D" w:rsidP="00764792">
      <w:pPr>
        <w:pStyle w:val="WBReport"/>
      </w:pPr>
      <w:r w:rsidRPr="00764792">
        <w:rPr>
          <w:b/>
          <w:i/>
        </w:rPr>
        <w:t xml:space="preserve">The alternative of offering micro-level or individual livestock producer voluntary </w:t>
      </w:r>
      <w:r w:rsidR="00855F76" w:rsidRPr="00764792">
        <w:rPr>
          <w:b/>
          <w:i/>
        </w:rPr>
        <w:t xml:space="preserve">pasture </w:t>
      </w:r>
      <w:r w:rsidRPr="00764792">
        <w:rPr>
          <w:b/>
          <w:i/>
        </w:rPr>
        <w:t xml:space="preserve">insurance was not considered technically or operationally feasible under the start-up phase of any new NDVI </w:t>
      </w:r>
      <w:r w:rsidR="00C75FB7" w:rsidRPr="00764792">
        <w:rPr>
          <w:b/>
          <w:i/>
        </w:rPr>
        <w:t xml:space="preserve">pasture </w:t>
      </w:r>
      <w:r w:rsidR="00763A17" w:rsidRPr="00764792">
        <w:rPr>
          <w:b/>
          <w:i/>
        </w:rPr>
        <w:t xml:space="preserve">index </w:t>
      </w:r>
      <w:r w:rsidR="00C75FB7" w:rsidRPr="00764792">
        <w:rPr>
          <w:b/>
          <w:i/>
        </w:rPr>
        <w:t xml:space="preserve">insurance </w:t>
      </w:r>
      <w:r w:rsidRPr="00764792">
        <w:rPr>
          <w:b/>
          <w:i/>
        </w:rPr>
        <w:t>program in SWBA</w:t>
      </w:r>
      <w:r w:rsidR="001A24FC" w:rsidRPr="00764792">
        <w:rPr>
          <w:b/>
          <w:i/>
        </w:rPr>
        <w:t>.</w:t>
      </w:r>
      <w:r w:rsidRPr="00FE24C0">
        <w:t xml:space="preserve"> </w:t>
      </w:r>
      <w:r w:rsidR="001A24FC" w:rsidRPr="00764792">
        <w:t xml:space="preserve">With the current low resolution of the satellite imagery it is not feasible to identify individual farmer’s pasture fields or holdings, and their often very different pasture management practices, in order to offer individual farmer insurance. An additional drawback is that under an individual farmer scheme with an index resolution of 2,500 ha there is a potential for very high </w:t>
      </w:r>
      <w:r w:rsidR="00A11680">
        <w:t xml:space="preserve">spatial </w:t>
      </w:r>
      <w:r w:rsidR="001A24FC" w:rsidRPr="00764792">
        <w:t>basis risk namely, that the difference between the pasture quality as determined by the NDVI index for that pixel and the actual pasture quality in individual livestock producer’s fields may be so high as to invalidate an individual cover (see Chapter 3 for further discussion of the issue of basis risk).</w:t>
      </w:r>
    </w:p>
    <w:p w:rsidR="00764792" w:rsidRDefault="00855F76" w:rsidP="00764792">
      <w:pPr>
        <w:pStyle w:val="WBReport"/>
      </w:pPr>
      <w:r w:rsidRPr="00764792">
        <w:rPr>
          <w:b/>
          <w:i/>
        </w:rPr>
        <w:t xml:space="preserve">Another reason for developing </w:t>
      </w:r>
      <w:r w:rsidR="00763A17" w:rsidRPr="00764792">
        <w:rPr>
          <w:b/>
          <w:i/>
        </w:rPr>
        <w:t xml:space="preserve">a </w:t>
      </w:r>
      <w:r w:rsidRPr="00764792">
        <w:rPr>
          <w:b/>
          <w:i/>
        </w:rPr>
        <w:t xml:space="preserve">macro-level cover is that the </w:t>
      </w:r>
      <w:r w:rsidR="004228A3" w:rsidRPr="00764792">
        <w:rPr>
          <w:b/>
          <w:i/>
        </w:rPr>
        <w:t xml:space="preserve">local insurance companies indicated at an </w:t>
      </w:r>
      <w:r w:rsidRPr="00764792">
        <w:rPr>
          <w:b/>
          <w:i/>
        </w:rPr>
        <w:t>early stage of the Feasibility S</w:t>
      </w:r>
      <w:r w:rsidR="004228A3" w:rsidRPr="00764792">
        <w:rPr>
          <w:b/>
          <w:i/>
        </w:rPr>
        <w:t>tudy that they did not have the experience or local networks to administer a voluntary individual farmer NDVI-pasture insurance program</w:t>
      </w:r>
      <w:r w:rsidR="001A24FC" w:rsidRPr="00764792">
        <w:rPr>
          <w:b/>
          <w:i/>
        </w:rPr>
        <w:t>.</w:t>
      </w:r>
      <w:r w:rsidR="004228A3" w:rsidRPr="00FE24C0">
        <w:t xml:space="preserve"> </w:t>
      </w:r>
      <w:r w:rsidR="001A24FC" w:rsidRPr="00764792">
        <w:t xml:space="preserve">These companies noted that the administrative costs of trying to promote and market individual farmer livestock insurance might be prohibitively expensive. In contrast, under the operation of a macro-level NDVI program where a single policy would be issued to Government, the payment of premium is made in a single installment and all cattle livestock producers would be automatically included, which would result in major administrative costs </w:t>
      </w:r>
      <w:r w:rsidR="001A24FC" w:rsidRPr="00764792">
        <w:lastRenderedPageBreak/>
        <w:t>savings to the insurers, and these savings could be passed on to the Insured in the form of a lower insurance premium. The insurance companies indicated they would only be willing to insure a macro-level NDVI insurance program issued to Government as the Insured in the start-up phase (see Chapter 6 for further discussion).</w:t>
      </w:r>
    </w:p>
    <w:p w:rsidR="000C6233" w:rsidRPr="00764792" w:rsidRDefault="00693029" w:rsidP="00764792">
      <w:pPr>
        <w:pStyle w:val="Subttulo"/>
        <w:rPr>
          <w:sz w:val="22"/>
        </w:rPr>
      </w:pPr>
      <w:bookmarkStart w:id="32" w:name="_Toc345794270"/>
      <w:r w:rsidRPr="00764792">
        <w:t>Insured Unit and Definition of Homogeneous Risk Zones</w:t>
      </w:r>
      <w:bookmarkEnd w:id="32"/>
    </w:p>
    <w:p w:rsidR="000C6233" w:rsidRDefault="001A24FC" w:rsidP="00764792">
      <w:pPr>
        <w:pStyle w:val="WBReport"/>
      </w:pPr>
      <w:r w:rsidRPr="00764792">
        <w:rPr>
          <w:b/>
          <w:i/>
        </w:rPr>
        <w:t>The definition of the Insured Unit is critical for the design and operation of the NDVI insurance product.</w:t>
      </w:r>
      <w:r w:rsidR="00693029" w:rsidRPr="00FE24C0">
        <w:t xml:space="preserve"> </w:t>
      </w:r>
      <w:r w:rsidRPr="00764792">
        <w:t>The Insured Unit is a pre-agreed geographical area of natural pasture and grazing which can be identified on the ground and for which the remote sensor takes an NDVI reading at an agreed time interval (every 16 days in the case of MODIS) and which forms the operational unit for determining whether insurance payouts are triggered or not according to the number of insured cattle each producer has located in that Insured Unit. As noted previously the NDVI database was developed at a resolution of 5 km x 5 km pixels (square grids) and a total of 1,591 forage resource pixels were classified under the mapping study (see chapter 4), and after a quality data control procedure</w:t>
      </w:r>
      <w:r w:rsidR="007C1E50" w:rsidRPr="007C1E50">
        <w:rPr>
          <w:vertAlign w:val="superscript"/>
        </w:rPr>
        <w:footnoteReference w:id="32"/>
      </w:r>
      <w:r w:rsidRPr="00764792">
        <w:t xml:space="preserve"> only 1,446 pixels were included in the insurance rating and risk assessment tool.</w:t>
      </w:r>
    </w:p>
    <w:p w:rsidR="000C6233" w:rsidRDefault="001A24FC" w:rsidP="00764792">
      <w:pPr>
        <w:pStyle w:val="WBReport"/>
      </w:pPr>
      <w:r w:rsidRPr="00764792">
        <w:rPr>
          <w:b/>
          <w:i/>
        </w:rPr>
        <w:t>The definition of the Insured Unit for this NDVI-pasture insurance program was based on two criteria: (i) definition of homogeneous risk zones and (ii) NDVI Insurance contract operational considerations.</w:t>
      </w:r>
      <w:r w:rsidR="00693029" w:rsidRPr="00FE24C0">
        <w:t xml:space="preserve"> </w:t>
      </w:r>
      <w:r w:rsidRPr="00764792">
        <w:t>It was not deemed feasible to operate an NDVI insurance program in SWBA with the individual pixel as the Insured Unit given the very large number of pixels and the complications of (i) trying to establish a system of identifying and allocating livestock producers and their animals to these very small grids and (ii) the issue of basis risk of operating at this scale and (iii) the potentially high administrative costs of managing triggered payouts in the very large number of about 1,500 pasture resource pixels. At the other extreme, the individual Department was considered far too large an Insured Unit given the evidence of variation in NDVI values between pixels located in a single department. In Argentina, livestock census data and registers are held at Departmental-level and also at the sub-departmental level termed the Cuartel, and from an operational viewpoint the Cuartel</w:t>
      </w:r>
      <w:r w:rsidR="00F0345D" w:rsidRPr="00F0345D">
        <w:rPr>
          <w:b/>
          <w:vertAlign w:val="superscript"/>
        </w:rPr>
        <w:footnoteReference w:id="33"/>
      </w:r>
      <w:r w:rsidRPr="00764792">
        <w:t xml:space="preserve"> would be most realistic Insured Unit for the NDVI pasture insurance program. There are a total of 117 Cuartels in the 12 Departments of SWBA </w:t>
      </w:r>
      <w:r w:rsidR="000C570F">
        <w:t>and typically a cuartel contains a</w:t>
      </w:r>
      <w:r w:rsidR="000638F3">
        <w:t>n average of a</w:t>
      </w:r>
      <w:r w:rsidR="000C570F">
        <w:t>bout 1</w:t>
      </w:r>
      <w:r w:rsidR="000638F3">
        <w:t>2</w:t>
      </w:r>
      <w:r w:rsidR="000C570F">
        <w:t xml:space="preserve"> </w:t>
      </w:r>
      <w:r w:rsidR="000638F3">
        <w:t xml:space="preserve">forrage resource </w:t>
      </w:r>
      <w:r w:rsidR="000C570F">
        <w:t xml:space="preserve">pixels and represents an area </w:t>
      </w:r>
      <w:r w:rsidR="000638F3">
        <w:t xml:space="preserve">of </w:t>
      </w:r>
      <w:r w:rsidR="000C570F">
        <w:t xml:space="preserve">about </w:t>
      </w:r>
      <w:r w:rsidR="00B70F85">
        <w:t>300</w:t>
      </w:r>
      <w:r w:rsidR="000638F3">
        <w:t xml:space="preserve"> km²</w:t>
      </w:r>
      <w:r w:rsidR="00B70F85">
        <w:t xml:space="preserve"> (or a square of 17.32 km x 17.32 km)</w:t>
      </w:r>
      <w:r w:rsidR="000638F3">
        <w:t xml:space="preserve">, although there is considerable variation across departments </w:t>
      </w:r>
      <w:r w:rsidRPr="00764792">
        <w:t>(Table 5.1)</w:t>
      </w:r>
      <w:r w:rsidR="00764792">
        <w:t>.</w:t>
      </w:r>
    </w:p>
    <w:p w:rsidR="000C6233" w:rsidRPr="00FE24C0" w:rsidRDefault="00132F21" w:rsidP="00764792">
      <w:pPr>
        <w:pStyle w:val="WBReport"/>
      </w:pPr>
      <w:r w:rsidRPr="00764792">
        <w:rPr>
          <w:b/>
          <w:i/>
        </w:rPr>
        <w:t xml:space="preserve">In order to test whether the </w:t>
      </w:r>
      <w:r w:rsidR="00693029" w:rsidRPr="00764792">
        <w:rPr>
          <w:b/>
          <w:i/>
        </w:rPr>
        <w:t xml:space="preserve">“Cuartel” </w:t>
      </w:r>
      <w:r w:rsidRPr="00764792">
        <w:rPr>
          <w:b/>
          <w:i/>
        </w:rPr>
        <w:t>would form a sufficiently homogenous risk zone</w:t>
      </w:r>
      <w:r w:rsidR="006E4F33" w:rsidRPr="00764792">
        <w:rPr>
          <w:b/>
          <w:i/>
        </w:rPr>
        <w:t>s</w:t>
      </w:r>
      <w:r w:rsidRPr="00764792">
        <w:rPr>
          <w:b/>
          <w:i/>
        </w:rPr>
        <w:t xml:space="preserve"> for the operation of the NDVI pasture-insurance program, </w:t>
      </w:r>
      <w:r w:rsidR="00693029" w:rsidRPr="00764792">
        <w:rPr>
          <w:b/>
          <w:i/>
        </w:rPr>
        <w:t xml:space="preserve">a statistical cluster analysis was conducted </w:t>
      </w:r>
      <w:r w:rsidRPr="00764792">
        <w:rPr>
          <w:b/>
          <w:i/>
        </w:rPr>
        <w:t xml:space="preserve">on the LART-FAUBA time series NDVI data base </w:t>
      </w:r>
      <w:r w:rsidR="00693029" w:rsidRPr="00764792">
        <w:rPr>
          <w:b/>
          <w:i/>
        </w:rPr>
        <w:t>using SPSS software.</w:t>
      </w:r>
      <w:r w:rsidR="001A24FC" w:rsidRPr="00FE24C0">
        <w:t xml:space="preserve"> </w:t>
      </w:r>
      <w:r w:rsidR="001A24FC" w:rsidRPr="00764792">
        <w:t xml:space="preserve">The cluster analysis was applied to the historical monthly average NDVI values for each selected pixel to establish groups or clusters of adjacent pixels with similar NDVI values and which comprise a Homogenous Risk Zone (HRZ). For the given NDVI sample data, the parameters that were considered for the cluster analysis were: (i) The Centroid as the method of similarity to create the clusters; and (ii) The Square Euclidean Distance which is the formula that estimates the distance among variables. The steps in the cluster analysis are illustrated in Figure 5.2.a and 5.2.b.  </w:t>
      </w:r>
      <w:r w:rsidR="001A24FC" w:rsidRPr="00764792">
        <w:lastRenderedPageBreak/>
        <w:t>It is important to note that, even though the risk analysis was focused on a specific period of the year (September to December), variables from all months were used for completing the analysis mentioned above. This analysis produced a total of 176 HRZ’s across the 117 Cuartels (Table 5.1).</w:t>
      </w:r>
      <w:r w:rsidR="002E5389" w:rsidRPr="00FE24C0">
        <w:t xml:space="preserve"> </w:t>
      </w:r>
    </w:p>
    <w:tbl>
      <w:tblPr>
        <w:tblW w:w="0" w:type="auto"/>
        <w:tblInd w:w="130" w:type="dxa"/>
        <w:tblLook w:val="04A0"/>
      </w:tblPr>
      <w:tblGrid>
        <w:gridCol w:w="4323"/>
        <w:gridCol w:w="4409"/>
      </w:tblGrid>
      <w:tr w:rsidR="00693029" w:rsidRPr="00FE24C0" w:rsidTr="002F15CA">
        <w:tc>
          <w:tcPr>
            <w:tcW w:w="4323" w:type="dxa"/>
          </w:tcPr>
          <w:p w:rsidR="00693029" w:rsidRPr="00FE24C0" w:rsidRDefault="00A44F36" w:rsidP="00630186">
            <w:pPr>
              <w:pStyle w:val="HeadFiguresTablesBoxes"/>
              <w:rPr>
                <w:b w:val="0"/>
              </w:rPr>
            </w:pPr>
            <w:r w:rsidRPr="00FE24C0">
              <w:t>Figure 5.</w:t>
            </w:r>
            <w:r w:rsidR="00EC5B41" w:rsidRPr="00FE24C0">
              <w:t>2.a.</w:t>
            </w:r>
            <w:r w:rsidR="00693029" w:rsidRPr="00FE24C0">
              <w:t xml:space="preserve"> Decisive pixel classification based on a centroid cluster as a hierarchical cluster method (Adolfo Alsina </w:t>
            </w:r>
            <w:r w:rsidR="000638F3">
              <w:t>Department</w:t>
            </w:r>
            <w:r w:rsidR="00693029" w:rsidRPr="00FE24C0">
              <w:t>)</w:t>
            </w:r>
          </w:p>
        </w:tc>
        <w:tc>
          <w:tcPr>
            <w:tcW w:w="4409" w:type="dxa"/>
          </w:tcPr>
          <w:p w:rsidR="00693029" w:rsidRPr="00FE24C0" w:rsidRDefault="00A44F36" w:rsidP="00D96CE8">
            <w:pPr>
              <w:pStyle w:val="HeadFiguresTablesBoxes"/>
            </w:pPr>
            <w:r w:rsidRPr="00FE24C0">
              <w:t>Figure 5.</w:t>
            </w:r>
            <w:r w:rsidR="00EC5B41" w:rsidRPr="00FE24C0">
              <w:t>2.b.</w:t>
            </w:r>
            <w:r w:rsidR="00693029" w:rsidRPr="00FE24C0">
              <w:t xml:space="preserve"> Two Step Cluster Summary analysis and Cluster Quality Example (Adolfo Alsina </w:t>
            </w:r>
            <w:r w:rsidR="000638F3">
              <w:t>Department</w:t>
            </w:r>
            <w:r w:rsidR="00693029" w:rsidRPr="00FE24C0">
              <w:t>)</w:t>
            </w:r>
          </w:p>
          <w:p w:rsidR="00693029" w:rsidRPr="00FE24C0" w:rsidRDefault="00693029" w:rsidP="00D96CE8">
            <w:pPr>
              <w:pStyle w:val="HeadFiguresTablesBoxes"/>
            </w:pPr>
          </w:p>
        </w:tc>
      </w:tr>
      <w:tr w:rsidR="00693029" w:rsidRPr="00FE24C0" w:rsidTr="002F15CA">
        <w:tc>
          <w:tcPr>
            <w:tcW w:w="4323" w:type="dxa"/>
          </w:tcPr>
          <w:p w:rsidR="00693029" w:rsidRPr="00FE24C0" w:rsidRDefault="00130500" w:rsidP="002F15CA">
            <w:pPr>
              <w:pStyle w:val="Epgrafe"/>
              <w:keepNext/>
              <w:ind w:left="0"/>
              <w:rPr>
                <w:rFonts w:ascii="Times New Roman" w:eastAsia="Times New Roman" w:hAnsi="Times New Roman"/>
                <w:bCs w:val="0"/>
                <w:i/>
                <w:color w:val="auto"/>
                <w:sz w:val="22"/>
                <w:szCs w:val="22"/>
                <w:lang w:val="en-US" w:eastAsia="ja-JP"/>
              </w:rPr>
            </w:pPr>
            <w:r w:rsidRPr="00FE24C0">
              <w:rPr>
                <w:rFonts w:ascii="Times New Roman" w:hAnsi="Times New Roman"/>
                <w:b w:val="0"/>
                <w:i/>
                <w:noProof/>
                <w:sz w:val="22"/>
                <w:szCs w:val="22"/>
                <w:lang w:val="es-AR" w:eastAsia="es-AR"/>
              </w:rPr>
              <w:drawing>
                <wp:inline distT="0" distB="0" distL="0" distR="0">
                  <wp:extent cx="2286000" cy="2052320"/>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srcRect/>
                          <a:stretch>
                            <a:fillRect/>
                          </a:stretch>
                        </pic:blipFill>
                        <pic:spPr bwMode="auto">
                          <a:xfrm>
                            <a:off x="0" y="0"/>
                            <a:ext cx="2286000" cy="2052320"/>
                          </a:xfrm>
                          <a:prstGeom prst="rect">
                            <a:avLst/>
                          </a:prstGeom>
                          <a:noFill/>
                          <a:ln w="9525">
                            <a:noFill/>
                            <a:miter lim="800000"/>
                            <a:headEnd/>
                            <a:tailEnd/>
                          </a:ln>
                        </pic:spPr>
                      </pic:pic>
                    </a:graphicData>
                  </a:graphic>
                </wp:inline>
              </w:drawing>
            </w:r>
          </w:p>
        </w:tc>
        <w:tc>
          <w:tcPr>
            <w:tcW w:w="4409" w:type="dxa"/>
          </w:tcPr>
          <w:p w:rsidR="00693029" w:rsidRPr="00FE24C0" w:rsidRDefault="00130500" w:rsidP="002F15CA">
            <w:pPr>
              <w:pStyle w:val="Epgrafe"/>
              <w:keepNext/>
              <w:ind w:left="0"/>
              <w:rPr>
                <w:rFonts w:ascii="Times New Roman" w:hAnsi="Times New Roman"/>
                <w:noProof/>
                <w:szCs w:val="22"/>
                <w:lang w:val="en-US" w:eastAsia="en-GB"/>
              </w:rPr>
            </w:pPr>
            <w:r w:rsidRPr="00FE24C0">
              <w:rPr>
                <w:rFonts w:ascii="Times New Roman" w:hAnsi="Times New Roman"/>
                <w:noProof/>
                <w:szCs w:val="22"/>
                <w:lang w:val="es-AR" w:eastAsia="es-AR"/>
              </w:rPr>
              <w:drawing>
                <wp:inline distT="0" distB="0" distL="0" distR="0">
                  <wp:extent cx="2477135" cy="2105025"/>
                  <wp:effectExtent l="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srcRect l="7010" r="6392" b="8463"/>
                          <a:stretch>
                            <a:fillRect/>
                          </a:stretch>
                        </pic:blipFill>
                        <pic:spPr bwMode="auto">
                          <a:xfrm>
                            <a:off x="0" y="0"/>
                            <a:ext cx="2477135" cy="2105025"/>
                          </a:xfrm>
                          <a:prstGeom prst="rect">
                            <a:avLst/>
                          </a:prstGeom>
                          <a:noFill/>
                          <a:ln w="9525">
                            <a:noFill/>
                            <a:miter lim="800000"/>
                            <a:headEnd/>
                            <a:tailEnd/>
                          </a:ln>
                        </pic:spPr>
                      </pic:pic>
                    </a:graphicData>
                  </a:graphic>
                </wp:inline>
              </w:drawing>
            </w:r>
          </w:p>
          <w:p w:rsidR="00693029" w:rsidRPr="00FE24C0" w:rsidRDefault="00693029" w:rsidP="002F15CA">
            <w:pPr>
              <w:rPr>
                <w:lang w:eastAsia="en-GB"/>
              </w:rPr>
            </w:pPr>
          </w:p>
        </w:tc>
      </w:tr>
    </w:tbl>
    <w:p w:rsidR="000C6233" w:rsidRPr="00764792" w:rsidRDefault="001A24FC" w:rsidP="00764792">
      <w:pPr>
        <w:pStyle w:val="WBReport"/>
      </w:pPr>
      <w:r w:rsidRPr="00764792">
        <w:rPr>
          <w:b/>
          <w:i/>
        </w:rPr>
        <w:t>The results of this clustering process showed that the homogeneous risk area of the clustered pixels with similar NDVI signature values was in fact often considerably smaller than the area of the Cuartel.</w:t>
      </w:r>
      <w:r w:rsidR="00000FC5" w:rsidRPr="00764792">
        <w:rPr>
          <w:b/>
          <w:i/>
        </w:rPr>
        <w:t xml:space="preserve"> </w:t>
      </w:r>
      <w:r w:rsidRPr="00764792">
        <w:t>This is illustrated in Figure 5.3 which shows the variation in the 76 individual forage resource pixel NDVI values within the nine Cuartels located in Bahia Blanca Department. In some of the Cuartels the NDVI values are very homogeneous across pixels, but in the eastern Cuartels the NDVI values are more variable. At this initial stage it would, however, be difficult to operate an insurance program with such a level of spatial detail (disaggregation) and with Insurance Units smaller than the Cuartel for a number of operational reasons, including the fact that a farm-level census would be required to re-register each and every livestock holding according to the number of animals located in each Insured Unit.</w:t>
      </w:r>
    </w:p>
    <w:p w:rsidR="00D76943" w:rsidRPr="00764792" w:rsidRDefault="00D76943" w:rsidP="00D76943">
      <w:pPr>
        <w:pStyle w:val="WBReport"/>
      </w:pPr>
      <w:r w:rsidRPr="00764792">
        <w:rPr>
          <w:b/>
          <w:i/>
        </w:rPr>
        <w:t xml:space="preserve">In the start-up phase of the NDVI pasture insurance program in SWBA it is recommended that the “Cuartel” should be adopted as the Insured Unit. </w:t>
      </w:r>
      <w:r w:rsidRPr="00764792">
        <w:t xml:space="preserve">This means that in practice the most representative homogeneous risk zone (HRZ) or cluster of pixels is selected for each Cuartel and the monthly NDVI values for each pixel in this representative HRZ zone are averaged to provide a single average NDVI value for that Cuartel and both premium rates and insurance payouts are calculated for this representative HRZ in each Cuartel. Reference to Table 5.1 shows that a total of 176 HRZs or clusters were identified in 117 Cuartels across the 12 </w:t>
      </w:r>
      <w:r>
        <w:t>Departments</w:t>
      </w:r>
      <w:r w:rsidRPr="00764792">
        <w:t xml:space="preserve"> in SWBA under this risk zoning exercise. In recognition of the fact that some Cuartels do not represent homogeneous risk zones and that these risk zones apply at a smaller level, under any insurance program careful attention should be given to analyzing the degree of variation in the pixel-level NDVI values and to seeking ways, over time, of refining the definition of risk zones and therefore the Insured Unit.</w:t>
      </w:r>
    </w:p>
    <w:p w:rsidR="00147A1B" w:rsidRPr="00FE24C0" w:rsidRDefault="006B7D81" w:rsidP="00D96CE8">
      <w:pPr>
        <w:pStyle w:val="HeadFiguresTablesBoxes"/>
      </w:pPr>
      <w:proofErr w:type="gramStart"/>
      <w:r w:rsidRPr="00FE24C0">
        <w:lastRenderedPageBreak/>
        <w:t>Figure 5.</w:t>
      </w:r>
      <w:r w:rsidR="00EC5B41" w:rsidRPr="00FE24C0">
        <w:t>3</w:t>
      </w:r>
      <w:r w:rsidRPr="00FE24C0">
        <w:t>.</w:t>
      </w:r>
      <w:proofErr w:type="gramEnd"/>
      <w:r w:rsidRPr="00FE24C0">
        <w:t xml:space="preserve"> NDVI Risk Zoning for the 77 Pasture Pixels and 9 Cuartels in Bahia Blanca Department </w:t>
      </w:r>
    </w:p>
    <w:p w:rsidR="006B7D81" w:rsidRPr="00FE24C0" w:rsidRDefault="003F5785" w:rsidP="00147A1B">
      <w:pPr>
        <w:pStyle w:val="APDroughtPara"/>
        <w:numPr>
          <w:ilvl w:val="0"/>
          <w:numId w:val="0"/>
        </w:numPr>
        <w:tabs>
          <w:tab w:val="left" w:pos="839"/>
        </w:tabs>
        <w:ind w:left="360"/>
        <w:outlineLvl w:val="9"/>
        <w:rPr>
          <w:sz w:val="20"/>
          <w:szCs w:val="20"/>
        </w:rPr>
      </w:pPr>
      <w:r w:rsidRPr="003F5785">
        <w:rPr>
          <w:szCs w:val="22"/>
        </w:rPr>
      </w:r>
      <w:r w:rsidRPr="003F5785">
        <w:rPr>
          <w:szCs w:val="22"/>
        </w:rPr>
        <w:pict>
          <v:group id="_x0000_s1205" style="width:390.65pt;height:153.7pt;mso-position-horizontal-relative:char;mso-position-vertical-relative:line" coordorigin="1033,558" coordsize="7813,3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206" type="#_x0000_t75" style="position:absolute;left:1033;top:597;width:3741;height:3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BErDAAAA3AAAAA8AAABkcnMvZG93bnJldi54bWxEj0FrwzAMhe+D/QejQm+r01HKyOqWUtjY&#10;bV1Wdha2FmeN5RC7afLvq0NhN4n39N6nzW4MrRqoT01kA8tFAYrYRtdwbeD0/fb0AiplZIdtZDIw&#10;UYLd9vFhg6WLV/6iocq1khBOJRrwOXel1sl6CpgWsSMW7Tf2AbOsfa1dj1cJD61+Loq1DtiwNHjs&#10;6ODJnqtLMODWNHj7924v5+Vn+Jmm42lV7Y2Zz8b9K6hMY/43368/nOCvhFaekQn0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QESsMAAADcAAAADwAAAAAAAAAAAAAAAACf&#10;AgAAZHJzL2Rvd25yZXYueG1sUEsFBgAAAAAEAAQA9wAAAI8DAAAAAA==&#10;">
              <v:imagedata r:id="rId29" o:title=""/>
            </v:shape>
            <v:rect id="Rectangle 149" o:spid="_x0000_s1207" style="position:absolute;left:1761;top:3265;width:2040;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p8MA&#10;AADcAAAADwAAAGRycy9kb3ducmV2LnhtbERPzWrCQBC+F/oOyxR6KbqxiK2payhRIXpr6gOM2WmS&#10;mp0N2TWJb98tCN7m4/udVTKaRvTUudqygtk0AkFcWF1zqeD4vZu8g3AeWWNjmRRcyUGyfnxYYazt&#10;wF/U574UIYRdjAoq79tYSldUZNBNbUscuB/bGfQBdqXUHQ4h3DTyNYoW0mDNoaHCltKKinN+MQr2&#10;h/nhmGby97ysNy/ZWx7J02Kr1PPT+PkBwtPo7+KbO9Nh/nwJ/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lp8MAAADcAAAADwAAAAAAAAAAAAAAAACYAgAAZHJzL2Rv&#10;d25yZXYueG1sUEsFBgAAAAAEAAQA9QAAAIgDAAAAAA==&#10;" filled="f" stroked="f">
              <v:textbox style="mso-next-textbox:#Rectangle 149">
                <w:txbxContent>
                  <w:p w:rsidR="00DE7C24" w:rsidRPr="0065077B" w:rsidRDefault="00DE7C24" w:rsidP="00D41BCB">
                    <w:pPr>
                      <w:pStyle w:val="NormalWeb"/>
                      <w:spacing w:before="0" w:beforeAutospacing="0" w:after="0" w:afterAutospacing="0"/>
                      <w:rPr>
                        <w:color w:val="FFFF00"/>
                      </w:rPr>
                    </w:pPr>
                    <w:r w:rsidRPr="0065077B">
                      <w:rPr>
                        <w:rFonts w:asciiTheme="minorHAnsi" w:hAnsi="Calibri" w:cstheme="minorBidi"/>
                        <w:b/>
                        <w:bCs/>
                        <w:color w:val="FFFF00"/>
                        <w:kern w:val="24"/>
                      </w:rPr>
                      <w:t>Selected Pixels</w:t>
                    </w:r>
                  </w:p>
                </w:txbxContent>
              </v:textbox>
            </v:rect>
            <v:shape id="Picture 150" o:spid="_x0000_s1208" type="#_x0000_t75" alt="ClústerDepto56.jpg" style="position:absolute;left:5104;top:558;width:3742;height:30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uhfFAAAA3AAAAA8AAABkcnMvZG93bnJldi54bWxEj0FrwkAQhe+F/odlCl5K3ShUNM1GSiXg&#10;qdSo92l2TEKzsyG7mvjvO4dCbzO8N+99k20n16kbDaH1bGAxT0ARV962XBs4HYuXNagQkS12nsnA&#10;nQJs88eHDFPrRz7QrYy1khAOKRpoYuxTrUPVkMMw9z2xaBc/OIyyDrW2A44S7jq9TJKVdtiyNDTY&#10;00dD1U95dQZWu+RQtMXleTzX1eb09f1Z7jdkzOxpen8DFWmK/+a/670V/FfBl2dkAp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boXxQAAANwAAAAPAAAAAAAAAAAAAAAA&#10;AJ8CAABkcnMvZG93bnJldi54bWxQSwUGAAAAAAQABAD3AAAAkQMAAAAA&#10;">
              <v:imagedata r:id="rId30" o:title="ClústerDepto56"/>
              <v:path arrowok="t"/>
            </v:shape>
            <v:rect id="Rectangle 151" o:spid="_x0000_s1209" style="position:absolute;left:5161;top:3209;width:2795;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fMMA&#10;AADcAAAADwAAAGRycy9kb3ducmV2LnhtbERPzWrCQBC+C32HZQpeRDeKRk1dpVgL0ZvRBxiz0yQ1&#10;OxuyW03fvlsQvM3H9zurTWdqcaPWVZYVjEcRCOLc6ooLBefT53ABwnlkjbVlUvBLDjbrl94KE23v&#10;fKRb5gsRQtglqKD0vkmkdHlJBt3INsSB+7KtQR9gW0jd4j2Em1pOoiiWBisODSU2tC0pv2Y/RsH+&#10;MD2ct6n8vi6rj0E6zyJ5iXdK9V+79zcQnjr/FD/cqQ7zZ2P4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c/fMMAAADcAAAADwAAAAAAAAAAAAAAAACYAgAAZHJzL2Rv&#10;d25yZXYueG1sUEsFBgAAAAAEAAQA9QAAAIgDAAAAAA==&#10;" filled="f" stroked="f">
              <v:textbox style="mso-next-textbox:#Rectangle 151">
                <w:txbxContent>
                  <w:p w:rsidR="00DE7C24" w:rsidRPr="0065077B" w:rsidRDefault="00DE7C24" w:rsidP="00D41BCB">
                    <w:pPr>
                      <w:pStyle w:val="NormalWeb"/>
                      <w:spacing w:before="0" w:beforeAutospacing="0" w:after="0" w:afterAutospacing="0"/>
                      <w:rPr>
                        <w:color w:val="FFFF00"/>
                      </w:rPr>
                    </w:pPr>
                    <w:r w:rsidRPr="0065077B">
                      <w:rPr>
                        <w:rFonts w:asciiTheme="minorHAnsi" w:hAnsi="Calibri" w:cstheme="minorBidi"/>
                        <w:b/>
                        <w:bCs/>
                        <w:color w:val="FFFF00"/>
                        <w:kern w:val="24"/>
                      </w:rPr>
                      <w:t>Homogeneous Risk Zones</w:t>
                    </w:r>
                  </w:p>
                </w:txbxContent>
              </v:textbox>
            </v:rect>
            <w10:wrap type="none"/>
            <w10:anchorlock/>
          </v:group>
        </w:pict>
      </w:r>
      <w:r w:rsidR="00416CE6" w:rsidRPr="00FE24C0">
        <w:rPr>
          <w:sz w:val="20"/>
          <w:szCs w:val="20"/>
        </w:rPr>
        <w:t>Source: Author</w:t>
      </w:r>
      <w:r w:rsidR="004A2D9E" w:rsidRPr="00FE24C0">
        <w:rPr>
          <w:sz w:val="20"/>
          <w:szCs w:val="20"/>
        </w:rPr>
        <w:t>s</w:t>
      </w:r>
      <w:r w:rsidR="00416CE6" w:rsidRPr="00FE24C0">
        <w:rPr>
          <w:sz w:val="20"/>
          <w:szCs w:val="20"/>
        </w:rPr>
        <w:t>’</w:t>
      </w:r>
      <w:r w:rsidR="004A2D9E" w:rsidRPr="00FE24C0">
        <w:rPr>
          <w:sz w:val="20"/>
          <w:szCs w:val="20"/>
        </w:rPr>
        <w:t xml:space="preserve"> analysis of NDVI Data-base</w:t>
      </w:r>
    </w:p>
    <w:p w:rsidR="009D6A3C" w:rsidRPr="00FE24C0" w:rsidRDefault="009D6A3C" w:rsidP="00D96CE8">
      <w:pPr>
        <w:pStyle w:val="HeadFiguresTablesBoxes"/>
      </w:pPr>
      <w:proofErr w:type="gramStart"/>
      <w:r w:rsidRPr="00FE24C0">
        <w:t>Table 5.</w:t>
      </w:r>
      <w:r w:rsidR="00280282" w:rsidRPr="00FE24C0">
        <w:t>1</w:t>
      </w:r>
      <w:r w:rsidRPr="00FE24C0">
        <w:t>.</w:t>
      </w:r>
      <w:proofErr w:type="gramEnd"/>
      <w:r w:rsidRPr="00FE24C0">
        <w:t xml:space="preserve"> Summary of Pasture Resources Pixels, Homogeneous Risk Zones and Pasture Insured Units (Cuartels) per Department, SWBA</w:t>
      </w:r>
    </w:p>
    <w:tbl>
      <w:tblPr>
        <w:tblW w:w="8555" w:type="dxa"/>
        <w:tblInd w:w="103" w:type="dxa"/>
        <w:tblLook w:val="04A0"/>
      </w:tblPr>
      <w:tblGrid>
        <w:gridCol w:w="1146"/>
        <w:gridCol w:w="1289"/>
        <w:gridCol w:w="1170"/>
        <w:gridCol w:w="1350"/>
        <w:gridCol w:w="1260"/>
        <w:gridCol w:w="1350"/>
        <w:gridCol w:w="990"/>
      </w:tblGrid>
      <w:tr w:rsidR="009D6A3C" w:rsidRPr="00FE24C0" w:rsidTr="00C01675">
        <w:trPr>
          <w:trHeight w:val="855"/>
        </w:trPr>
        <w:tc>
          <w:tcPr>
            <w:tcW w:w="1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Department Code</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Department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No. Pasture Resource Pixels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No. Homogeneous Risk Zones (Clusters)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No of Insured Units (Cuartels)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Maximum No. Pasture pixels per Cuartel</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Minimum No. Pasture pixels per Cuartel</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Dpto007</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Adolfo Alsina</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12</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8</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12</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Dpto056</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Bahía Blanca</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76</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18</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25</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Dpto203</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Cnel. Suarez</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23</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6</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Dpto189</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Dorrego</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13</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10</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Dpto399</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Guaminí</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160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19</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13</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22</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Dpto602</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Patagones</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62</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15</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16</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Dpto196</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Pringles</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23</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5</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17</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Dpto651</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Puan</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340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19</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13</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46</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2</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Dpto182</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Rosales</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177</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12</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11</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35</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Dpto700</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Saavedra</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52</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14</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10</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Dpto819</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Tornquist</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150</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12</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9</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36</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8</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Dpto875</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C01675">
            <w:pPr>
              <w:spacing w:after="0"/>
              <w:jc w:val="left"/>
              <w:rPr>
                <w:rFonts w:eastAsia="Times New Roman"/>
                <w:color w:val="000000"/>
                <w:sz w:val="18"/>
                <w:szCs w:val="18"/>
                <w:lang w:eastAsia="en-GB"/>
              </w:rPr>
            </w:pPr>
            <w:r w:rsidRPr="00FE24C0">
              <w:rPr>
                <w:rFonts w:eastAsia="Times New Roman"/>
                <w:color w:val="000000"/>
                <w:sz w:val="18"/>
                <w:szCs w:val="18"/>
                <w:lang w:eastAsia="en-GB"/>
              </w:rPr>
              <w:t>Villarino</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323</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28</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16</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33</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8</w:t>
            </w:r>
          </w:p>
        </w:tc>
      </w:tr>
      <w:tr w:rsidR="009D6A3C" w:rsidRPr="00FE24C0" w:rsidTr="00C01675">
        <w:trPr>
          <w:trHeight w:val="30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 </w:t>
            </w:r>
          </w:p>
        </w:tc>
        <w:tc>
          <w:tcPr>
            <w:tcW w:w="1289"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Total SWBA</w:t>
            </w:r>
          </w:p>
        </w:tc>
        <w:tc>
          <w:tcPr>
            <w:tcW w:w="117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1,446</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176</w:t>
            </w:r>
          </w:p>
        </w:tc>
        <w:tc>
          <w:tcPr>
            <w:tcW w:w="126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117</w:t>
            </w:r>
          </w:p>
        </w:tc>
        <w:tc>
          <w:tcPr>
            <w:tcW w:w="135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rsidR="009D6A3C" w:rsidRPr="00FE24C0" w:rsidRDefault="009D6A3C" w:rsidP="009D6A3C">
            <w:pPr>
              <w:spacing w:after="0"/>
              <w:jc w:val="center"/>
              <w:rPr>
                <w:rFonts w:eastAsia="Times New Roman"/>
                <w:color w:val="000000"/>
                <w:sz w:val="18"/>
                <w:szCs w:val="18"/>
                <w:lang w:eastAsia="en-GB"/>
              </w:rPr>
            </w:pPr>
            <w:r w:rsidRPr="00FE24C0">
              <w:rPr>
                <w:rFonts w:eastAsia="Times New Roman"/>
                <w:color w:val="000000"/>
                <w:sz w:val="18"/>
                <w:szCs w:val="18"/>
                <w:lang w:eastAsia="en-GB"/>
              </w:rPr>
              <w:t> </w:t>
            </w:r>
          </w:p>
        </w:tc>
      </w:tr>
    </w:tbl>
    <w:p w:rsidR="009D6A3C" w:rsidRDefault="009D6A3C" w:rsidP="003F4216">
      <w:pPr>
        <w:pStyle w:val="Source"/>
        <w:jc w:val="left"/>
      </w:pPr>
      <w:r w:rsidRPr="00FE24C0">
        <w:t xml:space="preserve">Source: Authors </w:t>
      </w:r>
      <w:r w:rsidR="00280282" w:rsidRPr="00FE24C0">
        <w:t>analysis of SWBA NDVI Database</w:t>
      </w:r>
    </w:p>
    <w:p w:rsidR="000C6233" w:rsidRPr="00FE24C0" w:rsidRDefault="00473137" w:rsidP="00764792">
      <w:pPr>
        <w:pStyle w:val="Subttulo"/>
      </w:pPr>
      <w:bookmarkStart w:id="33" w:name="_Toc345794271"/>
      <w:r w:rsidRPr="00FE24C0">
        <w:t>Definition of the Cover Period for</w:t>
      </w:r>
      <w:r w:rsidR="00EC5B41" w:rsidRPr="00FE24C0">
        <w:t xml:space="preserve"> the NDVI Pasture Insurance Pro</w:t>
      </w:r>
      <w:r w:rsidRPr="00FE24C0">
        <w:t>gram</w:t>
      </w:r>
      <w:bookmarkEnd w:id="33"/>
      <w:r w:rsidRPr="00FE24C0">
        <w:t xml:space="preserve"> </w:t>
      </w:r>
    </w:p>
    <w:p w:rsidR="000C6233" w:rsidRDefault="00473137" w:rsidP="00764792">
      <w:pPr>
        <w:pStyle w:val="WBReport"/>
      </w:pPr>
      <w:r w:rsidRPr="00764792">
        <w:rPr>
          <w:b/>
          <w:i/>
        </w:rPr>
        <w:t xml:space="preserve">The NDVI Pasture policy cover period is designed to match the periods of normal pasture growth and peak vegetative biomass productivity in SWBA and when </w:t>
      </w:r>
      <w:r w:rsidR="00C71395" w:rsidRPr="00764792">
        <w:rPr>
          <w:b/>
          <w:i/>
        </w:rPr>
        <w:t xml:space="preserve">extreme </w:t>
      </w:r>
      <w:r w:rsidRPr="00764792">
        <w:rPr>
          <w:b/>
          <w:i/>
        </w:rPr>
        <w:t xml:space="preserve">drought will severely impact on the available pasture and grazing for the predominantly breeding cattle herds in SWBA. </w:t>
      </w:r>
      <w:r w:rsidR="001A24FC" w:rsidRPr="00764792">
        <w:t xml:space="preserve">As noted in Chapter 2, there are two peak periods of pasture growth in SWBA which are closely related to the season and to rainfall and temperature, namely spring and early summer from September through December, and then again in autumn from March to May. The cover is not designed to insure pasture in the dry summer period from December to March when </w:t>
      </w:r>
      <w:r w:rsidR="001A24FC" w:rsidRPr="00764792">
        <w:lastRenderedPageBreak/>
        <w:t>pasture vigor and growth is normally low, or in the winter months of June to August when temperature and rainfall are very low and pasture production is correspondingly low.</w:t>
      </w:r>
    </w:p>
    <w:p w:rsidR="000C6233" w:rsidRPr="00FE24C0" w:rsidRDefault="00473137" w:rsidP="00764792">
      <w:pPr>
        <w:pStyle w:val="WBReport"/>
      </w:pPr>
      <w:r w:rsidRPr="00764792">
        <w:rPr>
          <w:b/>
          <w:i/>
        </w:rPr>
        <w:t>On the basis of discussions with the livestock industry in SWBA</w:t>
      </w:r>
      <w:r w:rsidR="00BA4AA1" w:rsidRPr="00764792">
        <w:rPr>
          <w:b/>
          <w:i/>
        </w:rPr>
        <w:t>,</w:t>
      </w:r>
      <w:r w:rsidRPr="00764792">
        <w:rPr>
          <w:b/>
          <w:i/>
        </w:rPr>
        <w:t xml:space="preserve"> two cover periods were finally selected for the NDVI pasture Index insurance program</w:t>
      </w:r>
      <w:r w:rsidR="005B006D" w:rsidRPr="00764792">
        <w:rPr>
          <w:b/>
          <w:i/>
        </w:rPr>
        <w:t xml:space="preserve"> namely,</w:t>
      </w:r>
      <w:r w:rsidRPr="00764792">
        <w:rPr>
          <w:b/>
          <w:i/>
        </w:rPr>
        <w:t xml:space="preserve"> September to November and March to May</w:t>
      </w:r>
      <w:r w:rsidR="001A24FC" w:rsidRPr="00764792">
        <w:rPr>
          <w:b/>
          <w:i/>
        </w:rPr>
        <w:t>.</w:t>
      </w:r>
      <w:r w:rsidRPr="00FE24C0">
        <w:t xml:space="preserve"> </w:t>
      </w:r>
      <w:r w:rsidR="001A24FC" w:rsidRPr="00764792">
        <w:t>During the conduct of the study the cover period was refined on the basis of discussions with livestock technicians and beef cattle breeders in SWBA. Initially a single four month spring cover period from September to December was identified by the livestock industry, but in further discussion they noted a second critical period of pasture production in autumn (March to May) when drought can have very adverse implications for livestock producers because it means that they enter the winter months with no pasture or forage stocks. The two cover periods are illustrated in Figure 5.4, the first a three month period from September to November which coincides with the major increase in pasture production in spring and then a second period in autumn from March to May.  These cover periods are separately rated and in principle cover could be offered for either 3 month period or for the combined 6 months in every year.</w:t>
      </w:r>
    </w:p>
    <w:p w:rsidR="000A4398" w:rsidRPr="00FE24C0" w:rsidRDefault="000A4398" w:rsidP="00D96CE8">
      <w:pPr>
        <w:pStyle w:val="HeadFiguresTablesBoxes"/>
      </w:pPr>
      <w:proofErr w:type="gramStart"/>
      <w:r w:rsidRPr="00FE24C0">
        <w:t>Figure 5.</w:t>
      </w:r>
      <w:r w:rsidR="00EC5B41" w:rsidRPr="00FE24C0">
        <w:t>4</w:t>
      </w:r>
      <w:r w:rsidRPr="00FE24C0">
        <w:t>.</w:t>
      </w:r>
      <w:proofErr w:type="gramEnd"/>
      <w:r w:rsidRPr="00FE24C0">
        <w:t xml:space="preserve"> NDVI Pasture Index Insurance Cover Period</w:t>
      </w:r>
      <w:r w:rsidR="00C71395" w:rsidRPr="00FE24C0">
        <w:t>s are shadowed. Nutritional requirements are expressed in Cow Equivalents (</w:t>
      </w:r>
      <w:r w:rsidR="00C71395" w:rsidRPr="00FE24C0">
        <w:rPr>
          <w:i/>
        </w:rPr>
        <w:t>Equivalentes Vaca</w:t>
      </w:r>
      <w:r w:rsidR="00C71395" w:rsidRPr="00FE24C0">
        <w:t>, in Spanish) and NDVI average corresponds to Cuartel Nº 23, Bahía Blanca.</w:t>
      </w:r>
    </w:p>
    <w:p w:rsidR="000A4398" w:rsidRPr="00FE24C0" w:rsidRDefault="000C6233" w:rsidP="00C71395">
      <w:pPr>
        <w:pStyle w:val="APDroughtPara"/>
        <w:numPr>
          <w:ilvl w:val="0"/>
          <w:numId w:val="0"/>
        </w:numPr>
        <w:tabs>
          <w:tab w:val="left" w:pos="839"/>
        </w:tabs>
        <w:spacing w:after="120"/>
        <w:jc w:val="center"/>
        <w:outlineLvl w:val="9"/>
        <w:rPr>
          <w:b/>
          <w:i/>
          <w:szCs w:val="22"/>
        </w:rPr>
      </w:pPr>
      <w:r w:rsidRPr="00FE24C0">
        <w:rPr>
          <w:noProof/>
          <w:szCs w:val="22"/>
          <w:lang w:val="es-AR" w:eastAsia="es-AR"/>
        </w:rPr>
        <w:drawing>
          <wp:inline distT="0" distB="0" distL="0" distR="0">
            <wp:extent cx="4591050" cy="2762250"/>
            <wp:effectExtent l="19050" t="0" r="0" b="0"/>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0A4398" w:rsidRPr="00FE24C0" w:rsidRDefault="00416CE6" w:rsidP="000E35EC">
      <w:pPr>
        <w:pStyle w:val="Source"/>
        <w:rPr>
          <w:b/>
          <w:i/>
          <w:lang w:eastAsia="es-NI"/>
        </w:rPr>
      </w:pPr>
      <w:r w:rsidRPr="00FE24C0">
        <w:t>Source: Author</w:t>
      </w:r>
      <w:r w:rsidR="000A4398" w:rsidRPr="00FE24C0">
        <w:t>s</w:t>
      </w:r>
      <w:r w:rsidRPr="00FE24C0">
        <w:t>’</w:t>
      </w:r>
      <w:r w:rsidR="000A4398" w:rsidRPr="00FE24C0">
        <w:t xml:space="preserve"> analysis of NDVI Data-base</w:t>
      </w:r>
    </w:p>
    <w:p w:rsidR="000C6233" w:rsidRDefault="001A24FC" w:rsidP="00764792">
      <w:pPr>
        <w:pStyle w:val="WBReport"/>
      </w:pPr>
      <w:r w:rsidRPr="00764792">
        <w:rPr>
          <w:b/>
          <w:i/>
        </w:rPr>
        <w:t xml:space="preserve">The spring cover period from September 1st to November 30th coincides with the period when the demand by beef cattle for pasture production and grazing is at the most critical stage. </w:t>
      </w:r>
      <w:r w:rsidRPr="00764792">
        <w:t>The reason for the selection of this cover period is because it is the most critical period for cattle rearing production systems in SWBA. Cattle production systems in SWBA are synchronized in such way that the period of highest nutritional requirement of the herd matches the period of highest productivity of forage. During this spring period of the year the cows, which are currently calving, then enter into the breeding season; thus the nutritional demand of the herd is at its highest level</w:t>
      </w:r>
      <w:proofErr w:type="gramStart"/>
      <w:r w:rsidRPr="00764792">
        <w:t>..</w:t>
      </w:r>
      <w:proofErr w:type="gramEnd"/>
      <w:r w:rsidRPr="00764792">
        <w:t xml:space="preserve"> The occurrence of an event affecting forage production during spring not only reduces the pregnancy rates in cows and therefore the calving rate, but will also generate disturbances for the forthcomings herd production cycles. The second period of peak demand by </w:t>
      </w:r>
      <w:r w:rsidRPr="00764792">
        <w:lastRenderedPageBreak/>
        <w:t>cattle for fodder in autumn coincides with the period when the calves are weaned and the cows need to regain peak condition and weight before entering the winter season.</w:t>
      </w:r>
    </w:p>
    <w:p w:rsidR="000C6233" w:rsidRDefault="001A24FC" w:rsidP="00764792">
      <w:pPr>
        <w:pStyle w:val="WBReport"/>
      </w:pPr>
      <w:r w:rsidRPr="00764792">
        <w:rPr>
          <w:b/>
          <w:i/>
        </w:rPr>
        <w:t>It is recognized that the 3-</w:t>
      </w:r>
      <w:r w:rsidR="006A7EC1" w:rsidRPr="00764792">
        <w:rPr>
          <w:b/>
          <w:i/>
        </w:rPr>
        <w:t xml:space="preserve">month spring insurance cover period </w:t>
      </w:r>
      <w:r w:rsidR="001146F6" w:rsidRPr="00764792">
        <w:rPr>
          <w:b/>
          <w:i/>
        </w:rPr>
        <w:t xml:space="preserve">from September to November </w:t>
      </w:r>
      <w:r w:rsidR="006A7EC1" w:rsidRPr="00764792">
        <w:rPr>
          <w:b/>
          <w:i/>
        </w:rPr>
        <w:t>is primarily designed to meet the forage-requirements of breeding herds in the drier parts of central and southern SWBA</w:t>
      </w:r>
      <w:r w:rsidRPr="00764792">
        <w:rPr>
          <w:i/>
        </w:rPr>
        <w:t>,</w:t>
      </w:r>
      <w:r w:rsidR="006A7EC1" w:rsidRPr="00FE24C0">
        <w:t xml:space="preserve"> </w:t>
      </w:r>
      <w:r w:rsidRPr="00764792">
        <w:t>and that it does not meet the full requirements of the integrated breeding and beef fattening herds (complete cycle) located in the higher rainfall areas of northern SWBA and whose needs are for an insurance product which would provide coverage in the event of pasture failure for the 12 months of the year following calving. It is more difficult to design and rate an NVDI product which covers the full production cycle of beef breeding/fattening throughout the year and this product would potentially be considerably more expensive than the 3-month spring grazing and autumn 3-month NDVI policy under consideration.</w:t>
      </w:r>
    </w:p>
    <w:p w:rsidR="000C6233" w:rsidRDefault="001A24FC" w:rsidP="00764792">
      <w:pPr>
        <w:pStyle w:val="WBReport"/>
      </w:pPr>
      <w:r w:rsidRPr="00764792">
        <w:rPr>
          <w:b/>
          <w:i/>
        </w:rPr>
        <w:t>The rationale for including a second autumn NDVI cover period from March 1st to May 31st is because if the rains fail at this stage and there is no pasture growth, livestock producers will enter winter with no forage reserves to feed their cattle.</w:t>
      </w:r>
      <w:r w:rsidRPr="00764792">
        <w:rPr>
          <w:i/>
        </w:rPr>
        <w:t xml:space="preserve"> </w:t>
      </w:r>
      <w:r w:rsidRPr="00764792">
        <w:t>The combination of very low temperatures and lack of rainfall in winter mean that there is very little or no pasture growth in the winter months. Livestock producers are therefore very dependent on autumn rainfall to regenerate the pasture and to build up grazing stocks before the onset of winter</w:t>
      </w:r>
      <w:r w:rsidR="00764792">
        <w:t>.</w:t>
      </w:r>
    </w:p>
    <w:p w:rsidR="00E2141D" w:rsidRDefault="001A24FC">
      <w:pPr>
        <w:pStyle w:val="WBReport"/>
        <w:spacing w:after="360"/>
      </w:pPr>
      <w:r w:rsidRPr="00764792">
        <w:rPr>
          <w:b/>
          <w:i/>
        </w:rPr>
        <w:t>Under the proposed macro-level NDVI pasture Index Insurance Cover, the government (Insured) may elect to purchase cover for only one of the three month periods, or to purchase cover for the full 6 months including both spring and autumn cycles.</w:t>
      </w:r>
      <w:r w:rsidRPr="00764792">
        <w:rPr>
          <w:i/>
        </w:rPr>
        <w:t xml:space="preserve"> </w:t>
      </w:r>
      <w:r w:rsidRPr="00764792">
        <w:t>The excel rating tool which has been designed by the World Bank team is therefore programmed to enable underwriters to calculate sums insured and pure rates and technical premium rates for either the spring or the autumn season and equally in combination (see Rating section for further discussion).</w:t>
      </w:r>
    </w:p>
    <w:p w:rsidR="000C6233" w:rsidRDefault="002F15CA" w:rsidP="004D6A58">
      <w:pPr>
        <w:pStyle w:val="Subttulo"/>
      </w:pPr>
      <w:bookmarkStart w:id="34" w:name="_Toc345794272"/>
      <w:r w:rsidRPr="00FE24C0">
        <w:t>Insured Categories of Cattle and Numbers of Insured Animals in SWBA</w:t>
      </w:r>
      <w:bookmarkEnd w:id="34"/>
      <w:r w:rsidRPr="00FE24C0">
        <w:t xml:space="preserve"> </w:t>
      </w:r>
    </w:p>
    <w:p w:rsidR="004D6A58" w:rsidRPr="004D6A58" w:rsidRDefault="0002752A" w:rsidP="004D6A58">
      <w:pPr>
        <w:pStyle w:val="WBReport"/>
      </w:pPr>
      <w:r w:rsidRPr="004D6A58">
        <w:rPr>
          <w:b/>
          <w:i/>
        </w:rPr>
        <w:t xml:space="preserve">In 2011, there were 2.14 million head of cattle in </w:t>
      </w:r>
      <w:r w:rsidR="00F7481D" w:rsidRPr="004D6A58">
        <w:rPr>
          <w:b/>
          <w:i/>
        </w:rPr>
        <w:t xml:space="preserve">the </w:t>
      </w:r>
      <w:r w:rsidRPr="004D6A58">
        <w:rPr>
          <w:b/>
          <w:i/>
        </w:rPr>
        <w:t xml:space="preserve">12 departments of SWBA according to the </w:t>
      </w:r>
      <w:r w:rsidR="00F7481D" w:rsidRPr="004D6A58">
        <w:rPr>
          <w:b/>
          <w:i/>
        </w:rPr>
        <w:t xml:space="preserve">National Service </w:t>
      </w:r>
      <w:r w:rsidR="00156714">
        <w:rPr>
          <w:b/>
          <w:i/>
        </w:rPr>
        <w:t>for</w:t>
      </w:r>
      <w:r w:rsidR="00F7481D" w:rsidRPr="004D6A58">
        <w:rPr>
          <w:b/>
          <w:i/>
        </w:rPr>
        <w:t xml:space="preserve"> Animal Health (SENASA) </w:t>
      </w:r>
      <w:r w:rsidRPr="004D6A58">
        <w:rPr>
          <w:b/>
          <w:i/>
        </w:rPr>
        <w:t xml:space="preserve">statistics. </w:t>
      </w:r>
      <w:r w:rsidR="001A24FC" w:rsidRPr="004D6A58">
        <w:rPr>
          <w:i/>
        </w:rPr>
        <w:t xml:space="preserve"> </w:t>
      </w:r>
      <w:r w:rsidR="001A24FC" w:rsidRPr="004D6A58">
        <w:t>SENASA livestock data are considered to be the most accurate information available on livestock holdings in Argentina.  Twice a year SENASA is involved in census exercises to update each livestock owners’ animal numbers as part of the national Foot and Mouth Disease (FMD) control program. According to the SENASA statistics, the most important livestock producing departments by number of cattle included Villarino, followed by Coronel Suarez, Coronel Pringles and Guamini (Table 5.2).</w:t>
      </w:r>
      <w:r w:rsidR="001A24FC" w:rsidRPr="004D6A58">
        <w:rPr>
          <w:i/>
        </w:rPr>
        <w:t xml:space="preserve"> </w:t>
      </w:r>
    </w:p>
    <w:p w:rsidR="000C6233" w:rsidRPr="00FE24C0" w:rsidRDefault="0002752A" w:rsidP="004D6A58">
      <w:pPr>
        <w:pStyle w:val="WBReport"/>
      </w:pPr>
      <w:r w:rsidRPr="004D6A58">
        <w:rPr>
          <w:b/>
          <w:i/>
        </w:rPr>
        <w:t>Under the proposed NDVI pasture index insurance program, all parties agreed that the primary objective of the insurance program should be to protect the breeding animals (cows and heifers) in the event of severe drought induced pasture and fodder shortages</w:t>
      </w:r>
      <w:r w:rsidR="001A24FC" w:rsidRPr="004D6A58">
        <w:rPr>
          <w:b/>
          <w:i/>
        </w:rPr>
        <w:t>.</w:t>
      </w:r>
      <w:r w:rsidR="001A24FC" w:rsidRPr="004D6A58">
        <w:rPr>
          <w:i/>
        </w:rPr>
        <w:t xml:space="preserve"> </w:t>
      </w:r>
      <w:r w:rsidR="001A24FC" w:rsidRPr="004D6A58">
        <w:t>On the basis of the 2011 SENASA figures this would imply up to a maximum of about 0.85 million insured cows and further 0.33 million insured heifers. The distribution of cows and heifers is shown by Cuartel and Department in Figure 5.5 with a marked concentration in the northern and central departments. The rationale of the livestock industry for insuring cows and heifers only is that in periods of severe fodder scarcity and when it is necessary to reduce stocking densities it is essential to maintain the breeding herd rather than lower value calves and bullocks and which are much cheaper</w:t>
      </w:r>
      <w:r w:rsidR="001A24FC" w:rsidRPr="004D6A58">
        <w:rPr>
          <w:lang w:eastAsia="es-NI"/>
        </w:rPr>
        <w:t xml:space="preserve"> and easier to replace than the breeding stock (cows and heifers). By maintaining </w:t>
      </w:r>
      <w:r w:rsidR="001A24FC" w:rsidRPr="004D6A58">
        <w:rPr>
          <w:lang w:eastAsia="es-NI"/>
        </w:rPr>
        <w:lastRenderedPageBreak/>
        <w:t xml:space="preserve">the breeding stock, livestock producers are able to recover much more quickly after the end of a severe drought. As previously noted, over the past decade roughly one third of the breeding cattle numbers in SWBA have been lost (forced sales, bankruptcy, etc.) because of severe droughts and it is the specific intention of this NDVI pasture index cover to try to alleviate this problem.  </w:t>
      </w:r>
    </w:p>
    <w:p w:rsidR="00416CE6" w:rsidRPr="00FE24C0" w:rsidRDefault="00EC5B41" w:rsidP="00D96CE8">
      <w:pPr>
        <w:pStyle w:val="HeadFiguresTablesBoxes"/>
      </w:pPr>
      <w:proofErr w:type="gramStart"/>
      <w:r w:rsidRPr="00FE24C0">
        <w:t>Table 5.</w:t>
      </w:r>
      <w:r w:rsidR="00E86206" w:rsidRPr="00FE24C0">
        <w:t>2</w:t>
      </w:r>
      <w:r w:rsidR="00416CE6" w:rsidRPr="00FE24C0">
        <w:t>.</w:t>
      </w:r>
      <w:proofErr w:type="gramEnd"/>
      <w:r w:rsidR="00416CE6" w:rsidRPr="00FE24C0">
        <w:t xml:space="preserve">  Number of Cattle by Category and by Department in SWBA in 2011 </w:t>
      </w:r>
    </w:p>
    <w:p w:rsidR="00031EC9" w:rsidRPr="00FE24C0" w:rsidRDefault="00031EC9" w:rsidP="00D96CE8">
      <w:pPr>
        <w:pStyle w:val="HeadFiguresTablesBoxes"/>
      </w:pPr>
      <w:r w:rsidRPr="00FE24C0">
        <w:rPr>
          <w:noProof/>
          <w:lang w:val="es-AR" w:eastAsia="es-AR"/>
        </w:rPr>
        <w:drawing>
          <wp:inline distT="0" distB="0" distL="0" distR="0">
            <wp:extent cx="5429250" cy="2571750"/>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2" cstate="print"/>
                    <a:srcRect/>
                    <a:stretch>
                      <a:fillRect/>
                    </a:stretch>
                  </pic:blipFill>
                  <pic:spPr bwMode="auto">
                    <a:xfrm>
                      <a:off x="0" y="0"/>
                      <a:ext cx="5436994" cy="2575418"/>
                    </a:xfrm>
                    <a:prstGeom prst="rect">
                      <a:avLst/>
                    </a:prstGeom>
                    <a:noFill/>
                    <a:ln w="9525">
                      <a:noFill/>
                      <a:miter lim="800000"/>
                      <a:headEnd/>
                      <a:tailEnd/>
                    </a:ln>
                  </pic:spPr>
                </pic:pic>
              </a:graphicData>
            </a:graphic>
          </wp:inline>
        </w:drawing>
      </w:r>
    </w:p>
    <w:p w:rsidR="009B649B" w:rsidRPr="00FE24C0" w:rsidRDefault="009B649B" w:rsidP="000E35EC">
      <w:pPr>
        <w:pStyle w:val="Source"/>
      </w:pPr>
      <w:r w:rsidRPr="00FE24C0">
        <w:t>Source: SENASA 2011</w:t>
      </w:r>
    </w:p>
    <w:p w:rsidR="006D59B7" w:rsidRPr="00FE24C0" w:rsidRDefault="00EC5B41" w:rsidP="00D96CE8">
      <w:pPr>
        <w:pStyle w:val="HeadFiguresTablesBoxes"/>
      </w:pPr>
      <w:proofErr w:type="gramStart"/>
      <w:r w:rsidRPr="00FE24C0">
        <w:t>Figure 5.5</w:t>
      </w:r>
      <w:r w:rsidR="006D59B7" w:rsidRPr="00FE24C0">
        <w:t>.</w:t>
      </w:r>
      <w:proofErr w:type="gramEnd"/>
      <w:r w:rsidR="006D59B7" w:rsidRPr="00FE24C0">
        <w:t xml:space="preserve">  </w:t>
      </w:r>
      <w:r w:rsidR="00937F0B" w:rsidRPr="00FE24C0">
        <w:t>Distribution</w:t>
      </w:r>
      <w:r w:rsidR="006D59B7" w:rsidRPr="00FE24C0">
        <w:t xml:space="preserve"> of Cows and Heifers by Cuartel and by </w:t>
      </w:r>
      <w:r w:rsidR="00937F0B" w:rsidRPr="00FE24C0">
        <w:t>Department</w:t>
      </w:r>
      <w:r w:rsidR="006D59B7" w:rsidRPr="00FE24C0">
        <w:t xml:space="preserve"> (2011)</w:t>
      </w:r>
    </w:p>
    <w:p w:rsidR="006D59B7" w:rsidRPr="00FE24C0" w:rsidRDefault="00130500" w:rsidP="00D76943">
      <w:pPr>
        <w:pStyle w:val="APDroughtPara"/>
        <w:numPr>
          <w:ilvl w:val="0"/>
          <w:numId w:val="0"/>
        </w:numPr>
        <w:tabs>
          <w:tab w:val="left" w:pos="839"/>
        </w:tabs>
        <w:jc w:val="center"/>
        <w:outlineLvl w:val="9"/>
        <w:rPr>
          <w:szCs w:val="22"/>
          <w:lang w:eastAsia="es-NI"/>
        </w:rPr>
      </w:pPr>
      <w:r w:rsidRPr="00FE24C0">
        <w:rPr>
          <w:noProof/>
          <w:szCs w:val="22"/>
          <w:lang w:val="es-AR" w:eastAsia="es-AR"/>
        </w:rPr>
        <w:drawing>
          <wp:inline distT="0" distB="0" distL="0" distR="0">
            <wp:extent cx="4874895" cy="3509010"/>
            <wp:effectExtent l="19050" t="0" r="190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4874895" cy="3509010"/>
                    </a:xfrm>
                    <a:prstGeom prst="rect">
                      <a:avLst/>
                    </a:prstGeom>
                    <a:noFill/>
                    <a:ln w="9525">
                      <a:noFill/>
                      <a:miter lim="800000"/>
                      <a:headEnd/>
                      <a:tailEnd/>
                    </a:ln>
                  </pic:spPr>
                </pic:pic>
              </a:graphicData>
            </a:graphic>
          </wp:inline>
        </w:drawing>
      </w:r>
    </w:p>
    <w:p w:rsidR="006D59B7" w:rsidRDefault="00937F0B" w:rsidP="000E35EC">
      <w:pPr>
        <w:pStyle w:val="Source"/>
        <w:rPr>
          <w:lang w:eastAsia="es-NI"/>
        </w:rPr>
      </w:pPr>
      <w:r w:rsidRPr="00FE24C0">
        <w:rPr>
          <w:lang w:eastAsia="es-NI"/>
        </w:rPr>
        <w:t>Source</w:t>
      </w:r>
      <w:r w:rsidR="00D355B8" w:rsidRPr="00FE24C0">
        <w:rPr>
          <w:lang w:eastAsia="es-NI"/>
        </w:rPr>
        <w:t>: Author</w:t>
      </w:r>
      <w:r w:rsidR="006D59B7" w:rsidRPr="00FE24C0">
        <w:rPr>
          <w:lang w:eastAsia="es-NI"/>
        </w:rPr>
        <w:t>s’ analysis of SENASA Data</w:t>
      </w:r>
    </w:p>
    <w:p w:rsidR="000C6233" w:rsidRPr="004D6A58" w:rsidRDefault="00C917B5" w:rsidP="004D6A58">
      <w:pPr>
        <w:pStyle w:val="WBReport"/>
      </w:pPr>
      <w:r w:rsidRPr="004D6A58">
        <w:rPr>
          <w:b/>
          <w:i/>
        </w:rPr>
        <w:lastRenderedPageBreak/>
        <w:t xml:space="preserve">The </w:t>
      </w:r>
      <w:r w:rsidR="004D6A16" w:rsidRPr="004D6A58">
        <w:rPr>
          <w:b/>
          <w:i/>
        </w:rPr>
        <w:t>propos</w:t>
      </w:r>
      <w:r w:rsidRPr="004D6A58">
        <w:rPr>
          <w:b/>
          <w:i/>
        </w:rPr>
        <w:t xml:space="preserve">ed NDVI Program can only insure cattle in Cuartels where </w:t>
      </w:r>
      <w:r w:rsidR="004D6A16" w:rsidRPr="004D6A58">
        <w:rPr>
          <w:b/>
          <w:i/>
        </w:rPr>
        <w:t>there is an adequate density of pasture resources (pixels with &gt;</w:t>
      </w:r>
      <w:r w:rsidR="0076546B" w:rsidRPr="004D6A58">
        <w:rPr>
          <w:b/>
          <w:i/>
        </w:rPr>
        <w:t>=</w:t>
      </w:r>
      <w:r w:rsidR="004D6A16" w:rsidRPr="004D6A58">
        <w:rPr>
          <w:b/>
          <w:i/>
        </w:rPr>
        <w:t xml:space="preserve"> 60% of the area under pasture) for the NDVI policy to operate</w:t>
      </w:r>
      <w:r w:rsidR="00551C13" w:rsidRPr="004D6A58">
        <w:rPr>
          <w:b/>
          <w:i/>
        </w:rPr>
        <w:t>.</w:t>
      </w:r>
      <w:r w:rsidR="00551C13" w:rsidRPr="004D6A58">
        <w:t xml:space="preserve"> </w:t>
      </w:r>
      <w:r w:rsidR="001A24FC" w:rsidRPr="004D6A58">
        <w:t>Using the SENASA 2011 geo-referenced (by latitude and longitude) individual livestock holding data, the study team has allocated all the 2011 registered cows and heifers to the Insurable Cuartels which have an adequate density of pasture resource pixels. A summary is presented in Table 5.3 and shows that of the total of 1.181,754 registered cows and heifers in SWBA in 2011, a total of 1,058,707 cattle or 90% of total could be insured under the NDVI program as they are located in Insurable Cuartels. The analysis also shows that in several Departments, most notably in Guamini only a fraction of the cattle (58% of total) could be insured because of the very low proportion of the area allocated to pasture and grazing in this department. Other departments with a low density of pasture resource areas and therefore low proportion of insurable cattle to total cattle numbers include Coronel Dorrego, Coronel Suarez and Coronel M.L. Rosales. For livestock owners whose farms are located outside the insurable areas (Insured Units) alternative mechanisms for compensating them in the event of severe droughts will have to be considered.</w:t>
      </w:r>
    </w:p>
    <w:p w:rsidR="009B11C9" w:rsidRPr="00FE24C0" w:rsidRDefault="009B11C9" w:rsidP="00D96CE8">
      <w:pPr>
        <w:pStyle w:val="HeadFiguresTablesBoxes"/>
      </w:pPr>
      <w:r w:rsidRPr="00FE24C0">
        <w:t>Table 5.</w:t>
      </w:r>
      <w:r w:rsidR="00E86206" w:rsidRPr="00FE24C0">
        <w:t>3</w:t>
      </w:r>
      <w:r w:rsidRPr="00FE24C0">
        <w:t xml:space="preserve"> Comparison of Total Numbers of Cows and Heifers and Insura</w:t>
      </w:r>
      <w:r w:rsidR="00E6454B" w:rsidRPr="00FE24C0">
        <w:t>ble</w:t>
      </w:r>
      <w:r w:rsidRPr="00FE24C0">
        <w:t xml:space="preserve"> Numbers of Cows and Heifers</w:t>
      </w:r>
    </w:p>
    <w:p w:rsidR="00031EC9" w:rsidRPr="00FE24C0" w:rsidRDefault="00031EC9" w:rsidP="00D96CE8">
      <w:pPr>
        <w:pStyle w:val="HeadFiguresTablesBoxes"/>
      </w:pPr>
      <w:r w:rsidRPr="00FE24C0">
        <w:rPr>
          <w:noProof/>
          <w:lang w:val="es-AR" w:eastAsia="es-AR"/>
        </w:rPr>
        <w:drawing>
          <wp:inline distT="0" distB="0" distL="0" distR="0">
            <wp:extent cx="5490210" cy="2694746"/>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cstate="print"/>
                    <a:srcRect/>
                    <a:stretch>
                      <a:fillRect/>
                    </a:stretch>
                  </pic:blipFill>
                  <pic:spPr bwMode="auto">
                    <a:xfrm>
                      <a:off x="0" y="0"/>
                      <a:ext cx="5490210" cy="2694746"/>
                    </a:xfrm>
                    <a:prstGeom prst="rect">
                      <a:avLst/>
                    </a:prstGeom>
                    <a:noFill/>
                    <a:ln w="9525">
                      <a:noFill/>
                      <a:miter lim="800000"/>
                      <a:headEnd/>
                      <a:tailEnd/>
                    </a:ln>
                  </pic:spPr>
                </pic:pic>
              </a:graphicData>
            </a:graphic>
          </wp:inline>
        </w:drawing>
      </w:r>
    </w:p>
    <w:p w:rsidR="009B11C9" w:rsidRPr="00FE24C0" w:rsidRDefault="00631ACC" w:rsidP="000E35EC">
      <w:pPr>
        <w:pStyle w:val="Source"/>
        <w:rPr>
          <w:lang w:eastAsia="es-NI"/>
        </w:rPr>
      </w:pPr>
      <w:r w:rsidRPr="00FE24C0">
        <w:rPr>
          <w:lang w:eastAsia="es-NI"/>
        </w:rPr>
        <w:t>Source: Authors analysis of SENASA Livestock Data 2011</w:t>
      </w:r>
    </w:p>
    <w:p w:rsidR="000C6233" w:rsidRPr="00FE24C0" w:rsidRDefault="002F15CA" w:rsidP="004D6A58">
      <w:pPr>
        <w:pStyle w:val="Subttulo"/>
      </w:pPr>
      <w:bookmarkStart w:id="35" w:name="_Toc345794273"/>
      <w:r w:rsidRPr="00FE24C0">
        <w:t>Basis of Valuation and Sum Insured</w:t>
      </w:r>
      <w:bookmarkEnd w:id="35"/>
      <w:r w:rsidRPr="00FE24C0">
        <w:t xml:space="preserve"> </w:t>
      </w:r>
    </w:p>
    <w:p w:rsidR="00821391" w:rsidRDefault="00821391" w:rsidP="002F15CA">
      <w:pPr>
        <w:pStyle w:val="APDroughtPara"/>
        <w:numPr>
          <w:ilvl w:val="0"/>
          <w:numId w:val="0"/>
        </w:numPr>
        <w:tabs>
          <w:tab w:val="left" w:pos="839"/>
        </w:tabs>
        <w:outlineLvl w:val="9"/>
        <w:rPr>
          <w:b/>
          <w:sz w:val="24"/>
          <w:szCs w:val="22"/>
          <w:u w:val="single"/>
          <w:lang w:eastAsia="es-NI"/>
        </w:rPr>
      </w:pPr>
      <w:r w:rsidRPr="00FE24C0">
        <w:rPr>
          <w:b/>
          <w:sz w:val="24"/>
          <w:szCs w:val="22"/>
          <w:u w:val="single"/>
          <w:lang w:eastAsia="es-NI"/>
        </w:rPr>
        <w:t>Basis of Valuation</w:t>
      </w:r>
    </w:p>
    <w:p w:rsidR="000C6233" w:rsidRPr="004D6A58" w:rsidRDefault="002146A5" w:rsidP="004D6A58">
      <w:pPr>
        <w:pStyle w:val="WBReport"/>
      </w:pPr>
      <w:r w:rsidRPr="004D6A58">
        <w:rPr>
          <w:b/>
          <w:i/>
        </w:rPr>
        <w:t xml:space="preserve">The </w:t>
      </w:r>
      <w:r w:rsidR="001A5EC6" w:rsidRPr="004D6A58">
        <w:rPr>
          <w:b/>
          <w:i/>
        </w:rPr>
        <w:t xml:space="preserve">basis of valuation and the </w:t>
      </w:r>
      <w:r w:rsidRPr="004D6A58">
        <w:rPr>
          <w:b/>
          <w:i/>
        </w:rPr>
        <w:t xml:space="preserve">sum insured is determined </w:t>
      </w:r>
      <w:r w:rsidR="001A5EC6" w:rsidRPr="004D6A58">
        <w:rPr>
          <w:b/>
          <w:i/>
        </w:rPr>
        <w:t>according to the nutritional requirements of the insured cattle (cows and heifers) during t</w:t>
      </w:r>
      <w:r w:rsidR="00252250" w:rsidRPr="004D6A58">
        <w:rPr>
          <w:b/>
          <w:i/>
        </w:rPr>
        <w:t>h</w:t>
      </w:r>
      <w:r w:rsidR="001A5EC6" w:rsidRPr="004D6A58">
        <w:rPr>
          <w:b/>
          <w:i/>
        </w:rPr>
        <w:t xml:space="preserve">e insurance cover period. </w:t>
      </w:r>
      <w:r w:rsidR="001A24FC" w:rsidRPr="004D6A58">
        <w:t xml:space="preserve">This insurance program uses the daily and monthly nutritional requirements of Breeding Cows expressed in terms of Cow Equivalents (EV) published by the Livestock Department (MAGyP).  The monthly nutritional requirements for cows are shown in Table 5.4 with a build-up in nutritional requirements post-calving from 1.0 EVs per cow to a peak of 1.45 EVs immediately prior to weaning of the calf. For heifers the nutritional requirements are lower than for breeding cows, at 0.81 EV’s and this value is constant throughout the year. For the purposes of calculating </w:t>
      </w:r>
      <w:r w:rsidR="001A24FC" w:rsidRPr="004D6A58">
        <w:lastRenderedPageBreak/>
        <w:t>the sum insured it has been assumed that in times of drought, maize would be used as a standard forage supplement for cattle in affected areas. Equally any other form of standard feed commodity could be used including millet or hay bales. According to the Livestock Department 1 metric ton of maize will cover the nutritional requirements of a breeding cow for 170 days, equivalent to 5.88 Kg of maize per cow per day. With a typical average market value for maize of AR$ 600 per metric ton the cost per Cow Equivalent (EV) amounts to AR$ 3.53 per day and this standard value has been used to determine the sum insured per cow and per heifer. It is noted that the insured price of maize can be modified and updated to reflect current prices in the NDVI rating model which has been designed under this study for the stakeholders.</w:t>
      </w:r>
    </w:p>
    <w:p w:rsidR="001A5EC6" w:rsidRPr="00FE24C0" w:rsidRDefault="001A5EC6" w:rsidP="004D6A58">
      <w:pPr>
        <w:pStyle w:val="APDroughtPara"/>
        <w:numPr>
          <w:ilvl w:val="0"/>
          <w:numId w:val="0"/>
        </w:numPr>
        <w:tabs>
          <w:tab w:val="left" w:pos="839"/>
        </w:tabs>
        <w:spacing w:after="0"/>
        <w:outlineLvl w:val="9"/>
        <w:rPr>
          <w:szCs w:val="22"/>
          <w:lang w:eastAsia="es-NI"/>
        </w:rPr>
      </w:pPr>
      <w:proofErr w:type="gramStart"/>
      <w:r w:rsidRPr="00FE24C0">
        <w:rPr>
          <w:b/>
          <w:szCs w:val="22"/>
          <w:lang w:eastAsia="es-NI"/>
        </w:rPr>
        <w:t>Table 5.</w:t>
      </w:r>
      <w:r w:rsidR="00E86206" w:rsidRPr="00FE24C0">
        <w:rPr>
          <w:b/>
          <w:szCs w:val="22"/>
          <w:lang w:eastAsia="es-NI"/>
        </w:rPr>
        <w:t>4</w:t>
      </w:r>
      <w:r w:rsidRPr="00FE24C0">
        <w:rPr>
          <w:b/>
          <w:szCs w:val="22"/>
          <w:lang w:eastAsia="es-NI"/>
        </w:rPr>
        <w:t>.</w:t>
      </w:r>
      <w:proofErr w:type="gramEnd"/>
      <w:r w:rsidRPr="00FE24C0">
        <w:rPr>
          <w:b/>
          <w:szCs w:val="22"/>
          <w:lang w:eastAsia="es-NI"/>
        </w:rPr>
        <w:t xml:space="preserve"> Daily and Monthly Nutritional Requirements</w:t>
      </w:r>
      <w:r w:rsidR="0055556F" w:rsidRPr="00FE24C0">
        <w:rPr>
          <w:b/>
          <w:szCs w:val="22"/>
          <w:lang w:eastAsia="es-NI"/>
        </w:rPr>
        <w:t xml:space="preserve"> (Cow Equivalent, EV) per month</w:t>
      </w:r>
      <w:r w:rsidRPr="00FE24C0">
        <w:rPr>
          <w:b/>
          <w:szCs w:val="22"/>
          <w:lang w:eastAsia="es-NI"/>
        </w:rPr>
        <w:t xml:space="preserve"> for Cows and Heifers</w:t>
      </w:r>
    </w:p>
    <w:tbl>
      <w:tblPr>
        <w:tblW w:w="8160" w:type="dxa"/>
        <w:tblInd w:w="103" w:type="dxa"/>
        <w:tblLook w:val="04A0"/>
      </w:tblPr>
      <w:tblGrid>
        <w:gridCol w:w="1200"/>
        <w:gridCol w:w="580"/>
        <w:gridCol w:w="580"/>
        <w:gridCol w:w="580"/>
        <w:gridCol w:w="580"/>
        <w:gridCol w:w="580"/>
        <w:gridCol w:w="580"/>
        <w:gridCol w:w="580"/>
        <w:gridCol w:w="580"/>
        <w:gridCol w:w="580"/>
        <w:gridCol w:w="583"/>
        <w:gridCol w:w="580"/>
        <w:gridCol w:w="580"/>
      </w:tblGrid>
      <w:tr w:rsidR="001A5EC6" w:rsidRPr="00FE24C0" w:rsidTr="001A5EC6">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1740" w:type="dxa"/>
            <w:gridSpan w:val="3"/>
            <w:tcBorders>
              <w:top w:val="single" w:sz="4" w:space="0" w:color="auto"/>
              <w:left w:val="nil"/>
              <w:bottom w:val="single" w:sz="4" w:space="0" w:color="auto"/>
              <w:right w:val="single" w:sz="4" w:space="0" w:color="auto"/>
            </w:tcBorders>
            <w:shd w:val="clear" w:color="auto" w:fill="auto"/>
            <w:noWrap/>
            <w:vAlign w:val="bottom"/>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Calving</w:t>
            </w:r>
          </w:p>
        </w:tc>
        <w:tc>
          <w:tcPr>
            <w:tcW w:w="580" w:type="dxa"/>
            <w:tcBorders>
              <w:top w:val="single" w:sz="4" w:space="0" w:color="auto"/>
              <w:left w:val="nil"/>
              <w:bottom w:val="single" w:sz="4" w:space="0" w:color="auto"/>
              <w:right w:val="nil"/>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580" w:type="dxa"/>
            <w:tcBorders>
              <w:top w:val="single" w:sz="4" w:space="0" w:color="auto"/>
              <w:left w:val="nil"/>
              <w:bottom w:val="single" w:sz="4" w:space="0" w:color="auto"/>
              <w:right w:val="nil"/>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580" w:type="dxa"/>
            <w:tcBorders>
              <w:top w:val="single" w:sz="4" w:space="0" w:color="auto"/>
              <w:left w:val="nil"/>
              <w:bottom w:val="single" w:sz="4" w:space="0" w:color="auto"/>
              <w:right w:val="nil"/>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Weaning</w:t>
            </w:r>
          </w:p>
        </w:tc>
        <w:tc>
          <w:tcPr>
            <w:tcW w:w="580" w:type="dxa"/>
            <w:tcBorders>
              <w:top w:val="single" w:sz="4" w:space="0" w:color="auto"/>
              <w:left w:val="nil"/>
              <w:bottom w:val="single" w:sz="4" w:space="0" w:color="auto"/>
              <w:right w:val="nil"/>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580" w:type="dxa"/>
            <w:tcBorders>
              <w:top w:val="single" w:sz="4" w:space="0" w:color="auto"/>
              <w:left w:val="nil"/>
              <w:bottom w:val="single" w:sz="4" w:space="0" w:color="auto"/>
              <w:right w:val="nil"/>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 </w:t>
            </w:r>
          </w:p>
        </w:tc>
      </w:tr>
      <w:tr w:rsidR="001A5EC6" w:rsidRPr="00FE24C0" w:rsidTr="001A5E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Month</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Aug</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Sep</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Oct</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Nov</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Dec</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Jan</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Feb</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Mar</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Apr</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May</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Jun</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Jul</w:t>
            </w:r>
          </w:p>
        </w:tc>
      </w:tr>
      <w:tr w:rsidR="001A5EC6" w:rsidRPr="00FE24C0" w:rsidTr="001A5E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Cows</w:t>
            </w:r>
            <w:r w:rsidR="0055556F" w:rsidRPr="00FE24C0">
              <w:rPr>
                <w:rFonts w:eastAsia="Times New Roman"/>
                <w:color w:val="000000"/>
                <w:sz w:val="20"/>
                <w:szCs w:val="20"/>
                <w:lang w:eastAsia="en-GB"/>
              </w:rPr>
              <w:t xml:space="preserve"> (EV)</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1.00</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1.00</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1.10</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1.15</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1.25</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1.35</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1.40</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1.45</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0.75</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0.80</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0.85</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0.90</w:t>
            </w:r>
          </w:p>
        </w:tc>
      </w:tr>
      <w:tr w:rsidR="001A5EC6" w:rsidRPr="00FE24C0" w:rsidTr="001A5E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A5EC6" w:rsidRPr="00FE24C0" w:rsidRDefault="001A5EC6" w:rsidP="001A5EC6">
            <w:pPr>
              <w:spacing w:after="0"/>
              <w:jc w:val="left"/>
              <w:rPr>
                <w:rFonts w:eastAsia="Times New Roman"/>
                <w:color w:val="000000"/>
                <w:sz w:val="20"/>
                <w:szCs w:val="20"/>
                <w:lang w:eastAsia="en-GB"/>
              </w:rPr>
            </w:pPr>
            <w:r w:rsidRPr="00FE24C0">
              <w:rPr>
                <w:rFonts w:eastAsia="Times New Roman"/>
                <w:color w:val="000000"/>
                <w:sz w:val="20"/>
                <w:szCs w:val="20"/>
                <w:lang w:eastAsia="en-GB"/>
              </w:rPr>
              <w:t>Heifers</w:t>
            </w:r>
            <w:r w:rsidR="0055556F" w:rsidRPr="00FE24C0">
              <w:rPr>
                <w:rFonts w:eastAsia="Times New Roman"/>
                <w:color w:val="000000"/>
                <w:sz w:val="20"/>
                <w:szCs w:val="20"/>
                <w:lang w:eastAsia="en-GB"/>
              </w:rPr>
              <w:t xml:space="preserve"> (EV)</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c>
          <w:tcPr>
            <w:tcW w:w="580" w:type="dxa"/>
            <w:tcBorders>
              <w:top w:val="nil"/>
              <w:left w:val="nil"/>
              <w:bottom w:val="single" w:sz="4" w:space="0" w:color="auto"/>
              <w:right w:val="single" w:sz="4" w:space="0" w:color="auto"/>
            </w:tcBorders>
            <w:shd w:val="clear" w:color="auto" w:fill="auto"/>
            <w:noWrap/>
            <w:vAlign w:val="center"/>
            <w:hideMark/>
          </w:tcPr>
          <w:p w:rsidR="001A5EC6" w:rsidRPr="00FE24C0" w:rsidRDefault="001A5EC6" w:rsidP="001A5EC6">
            <w:pPr>
              <w:spacing w:after="0"/>
              <w:jc w:val="center"/>
              <w:rPr>
                <w:rFonts w:eastAsia="Times New Roman"/>
                <w:color w:val="000000"/>
                <w:sz w:val="20"/>
                <w:szCs w:val="20"/>
                <w:lang w:eastAsia="en-GB"/>
              </w:rPr>
            </w:pPr>
            <w:r w:rsidRPr="00FE24C0">
              <w:rPr>
                <w:rFonts w:eastAsia="Times New Roman"/>
                <w:color w:val="000000"/>
                <w:sz w:val="20"/>
                <w:szCs w:val="20"/>
                <w:lang w:eastAsia="en-GB"/>
              </w:rPr>
              <w:t>0.81</w:t>
            </w:r>
          </w:p>
        </w:tc>
      </w:tr>
    </w:tbl>
    <w:p w:rsidR="001A5EC6" w:rsidRPr="00FE24C0" w:rsidRDefault="00C66CB8" w:rsidP="000E35EC">
      <w:pPr>
        <w:pStyle w:val="Source"/>
        <w:rPr>
          <w:lang w:eastAsia="es-NI"/>
        </w:rPr>
      </w:pPr>
      <w:r w:rsidRPr="00FE24C0">
        <w:rPr>
          <w:lang w:eastAsia="es-NI"/>
        </w:rPr>
        <w:t xml:space="preserve">Source: Livestock Department, </w:t>
      </w:r>
      <w:r w:rsidR="00AD4EDA" w:rsidRPr="00FE24C0">
        <w:rPr>
          <w:lang w:eastAsia="es-NI"/>
        </w:rPr>
        <w:t>MAGyP</w:t>
      </w:r>
    </w:p>
    <w:p w:rsidR="004D6A58" w:rsidRPr="004D6A58" w:rsidRDefault="003928B9" w:rsidP="004D6A58">
      <w:pPr>
        <w:pStyle w:val="WBReport"/>
        <w:rPr>
          <w:i/>
        </w:rPr>
      </w:pPr>
      <w:r w:rsidRPr="004D6A58">
        <w:rPr>
          <w:b/>
          <w:i/>
        </w:rPr>
        <w:t>For the 6-month insurance cover period, the total cost of providing supple</w:t>
      </w:r>
      <w:r w:rsidR="00C66CB8" w:rsidRPr="004D6A58">
        <w:rPr>
          <w:b/>
          <w:i/>
        </w:rPr>
        <w:t>me</w:t>
      </w:r>
      <w:r w:rsidRPr="004D6A58">
        <w:rPr>
          <w:b/>
          <w:i/>
        </w:rPr>
        <w:t xml:space="preserve">ntary feed is estimated at AR$ 674 per breeding cow and AR$ 523 per heifer. </w:t>
      </w:r>
      <w:r w:rsidR="001A24FC" w:rsidRPr="004D6A58">
        <w:t xml:space="preserve">The basis of establishing these costs is shown in Table 5.5 where the EV cost per day of AR$ 3.53 is applied to the daily EV for each class of insured cattle and by insured month to calculate the daily cost of providing maize feed supplement to the animals. This is then multiplied by the number of days per month to calculate the monthly cost of feeding one cow or heifer. The total cost for the 6 month cover period amounts to AR$ 674 per cow and AR$ 523 per heifer. It is not, however, the intention of this NDVI insurance policy to cover 100% of the livestock producers’ feed costs in times when the policy is triggered due to drought or other causes of loss in natural pasture. By offering full protection for 100% of the animal’s nutritional requirements during the cover period, this may act as a disincentive for the producer to manage his livestock and to maintain fodder reserves and or to preserve his grazing lands. </w:t>
      </w:r>
      <w:r w:rsidR="00B85D84">
        <w:t xml:space="preserve">Furthermore losses in pasture are usually progressive losses over a period of time </w:t>
      </w:r>
      <w:r w:rsidR="0082284B">
        <w:t xml:space="preserve">(for example due to drought) </w:t>
      </w:r>
      <w:r w:rsidR="00B85D84">
        <w:t>during which it would be incorrect to compensate 100% of the cow’s nut</w:t>
      </w:r>
      <w:r w:rsidR="00B70F85">
        <w:t>ritional</w:t>
      </w:r>
      <w:r w:rsidR="00B85D84">
        <w:t xml:space="preserve"> requirements.  </w:t>
      </w:r>
      <w:r w:rsidR="001A24FC" w:rsidRPr="004D6A58">
        <w:t>For th</w:t>
      </w:r>
      <w:r w:rsidR="00B85D84">
        <w:t>ese</w:t>
      </w:r>
      <w:r w:rsidR="001A24FC" w:rsidRPr="004D6A58">
        <w:t xml:space="preserve"> reason</w:t>
      </w:r>
      <w:r w:rsidR="00B85D84">
        <w:t xml:space="preserve">s </w:t>
      </w:r>
      <w:r w:rsidR="001A24FC" w:rsidRPr="004D6A58">
        <w:t>it is recommended that the monthly sum insured per animal be set at 50% of the monthly and total nutritional requirements which would be equal to a sum insured value per breeding cow of AR$ 337 and per heifer of AR$ 262. This basis of valuation and the 50% sum insured level was discussed with and agreed by MAGyP, the insurance companies and representatives of the livestock sector in SWBA during the design of the NDVI program. The NDVI Rating tool is, however, programmed to permit the user to amend the cover period (months) and the sum insured level as required.</w:t>
      </w:r>
    </w:p>
    <w:p w:rsidR="004D6A58" w:rsidRPr="004D6A58" w:rsidRDefault="004D6A58" w:rsidP="004D6A58">
      <w:pPr>
        <w:pStyle w:val="WBReport"/>
        <w:rPr>
          <w:i/>
        </w:rPr>
      </w:pPr>
      <w:r w:rsidRPr="004D6A58">
        <w:rPr>
          <w:b/>
          <w:i/>
        </w:rPr>
        <w:t>The total sum insured for the Macro-level NDVI insurance program for breeding cattle and heifers in SWBA is estimated at about AR$ 344 million.</w:t>
      </w:r>
      <w:r w:rsidRPr="004D6A58">
        <w:rPr>
          <w:i/>
        </w:rPr>
        <w:t xml:space="preserve"> </w:t>
      </w:r>
      <w:r w:rsidRPr="004D6A58">
        <w:t xml:space="preserve">The total sum insured is calculated on the basis of the number of insurable cattle (cows and heifers) in each Insured Unit valued according to the monthly sum insured value for the 6 month cover period. The sums insured per Department and in Total are shown in Table 5.6 and Figure 5.6.  There is a relatively good spread of risk (insured liability) across the 12 departments with the highest sum insured of AR$ 55.3 million in Villarino Department (17% of total liability) and the lowest sum insured in Rosales of AR$ 5.4 million (2% of total liability). Full details of the basis of valuation and estimation of the sum insured are presented in Annex 2 and in the excel-based NDVI rating tool for SWBA which accompanies this report. The rating tool is enabled to allow the user to change the sum insured </w:t>
      </w:r>
      <w:r w:rsidRPr="004D6A58">
        <w:lastRenderedPageBreak/>
        <w:t>levels from 0% to 100% of the estimated costs of supplementary feed for the desired cover period.</w:t>
      </w:r>
    </w:p>
    <w:p w:rsidR="003928B9" w:rsidRPr="00FE24C0" w:rsidRDefault="005B7615" w:rsidP="00D96CE8">
      <w:pPr>
        <w:pStyle w:val="HeadFiguresTablesBoxes"/>
      </w:pPr>
      <w:proofErr w:type="gramStart"/>
      <w:r w:rsidRPr="00FE24C0">
        <w:t>Table 5.</w:t>
      </w:r>
      <w:r w:rsidR="00E86206" w:rsidRPr="00FE24C0">
        <w:t>5</w:t>
      </w:r>
      <w:r w:rsidR="00962670" w:rsidRPr="00FE24C0">
        <w:t>.</w:t>
      </w:r>
      <w:proofErr w:type="gramEnd"/>
      <w:r w:rsidR="00962670" w:rsidRPr="00FE24C0">
        <w:t xml:space="preserve"> Basis of Calculation of the </w:t>
      </w:r>
      <w:r w:rsidR="0088712D" w:rsidRPr="00FE24C0">
        <w:t xml:space="preserve">Monthly </w:t>
      </w:r>
      <w:r w:rsidR="00962670" w:rsidRPr="00FE24C0">
        <w:t>Sum Insured for Cows and Heifers</w:t>
      </w:r>
      <w:r w:rsidR="00854F6E" w:rsidRPr="00FE24C0">
        <w:t xml:space="preserve"> (AR$/Animal</w:t>
      </w:r>
      <w:r w:rsidR="0088712D" w:rsidRPr="00FE24C0">
        <w:t>/Month</w:t>
      </w:r>
      <w:r w:rsidR="00854F6E" w:rsidRPr="00FE24C0">
        <w:t>)</w:t>
      </w:r>
    </w:p>
    <w:tbl>
      <w:tblPr>
        <w:tblW w:w="5020" w:type="pct"/>
        <w:tblLayout w:type="fixed"/>
        <w:tblLook w:val="04A0"/>
      </w:tblPr>
      <w:tblGrid>
        <w:gridCol w:w="2385"/>
        <w:gridCol w:w="987"/>
        <w:gridCol w:w="756"/>
        <w:gridCol w:w="756"/>
        <w:gridCol w:w="756"/>
        <w:gridCol w:w="756"/>
        <w:gridCol w:w="756"/>
        <w:gridCol w:w="756"/>
        <w:gridCol w:w="989"/>
      </w:tblGrid>
      <w:tr w:rsidR="00D76943" w:rsidRPr="00D76943" w:rsidTr="009900A8">
        <w:trPr>
          <w:trHeight w:val="630"/>
        </w:trPr>
        <w:tc>
          <w:tcPr>
            <w:tcW w:w="13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Item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Insured Animals</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Sep</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Oct</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Nov</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Mar</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Apr</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May</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Total (AR$</w:t>
            </w:r>
            <w:r w:rsidR="00D76943" w:rsidRPr="00D76943">
              <w:rPr>
                <w:rFonts w:eastAsia="Times New Roman"/>
                <w:b/>
                <w:bCs/>
                <w:color w:val="000000"/>
                <w:sz w:val="19"/>
                <w:szCs w:val="19"/>
                <w:lang w:eastAsia="en-GB"/>
              </w:rPr>
              <w:t xml:space="preserve">/ </w:t>
            </w:r>
            <w:r w:rsidRPr="00D76943">
              <w:rPr>
                <w:rFonts w:eastAsia="Times New Roman"/>
                <w:b/>
                <w:bCs/>
                <w:color w:val="000000"/>
                <w:sz w:val="19"/>
                <w:szCs w:val="19"/>
                <w:lang w:eastAsia="en-GB"/>
              </w:rPr>
              <w:t>animal)</w:t>
            </w:r>
          </w:p>
        </w:tc>
      </w:tr>
      <w:tr w:rsidR="00D76943" w:rsidRPr="00D76943" w:rsidTr="009900A8">
        <w:trPr>
          <w:trHeight w:val="300"/>
        </w:trPr>
        <w:tc>
          <w:tcPr>
            <w:tcW w:w="134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0119D" w:rsidRPr="00D76943" w:rsidRDefault="00A0119D" w:rsidP="00A0119D">
            <w:pPr>
              <w:spacing w:after="0"/>
              <w:jc w:val="left"/>
              <w:rPr>
                <w:rFonts w:eastAsia="Times New Roman"/>
                <w:color w:val="000000"/>
                <w:sz w:val="19"/>
                <w:szCs w:val="19"/>
                <w:lang w:eastAsia="en-GB"/>
              </w:rPr>
            </w:pPr>
            <w:r w:rsidRPr="00D76943">
              <w:rPr>
                <w:rFonts w:eastAsia="Times New Roman"/>
                <w:color w:val="000000"/>
                <w:sz w:val="19"/>
                <w:szCs w:val="19"/>
                <w:lang w:eastAsia="en-GB"/>
              </w:rPr>
              <w:t>Nutritional Requirement (EV)</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r w:rsidRPr="00D76943">
              <w:rPr>
                <w:rFonts w:eastAsia="Times New Roman"/>
                <w:color w:val="000000"/>
                <w:sz w:val="19"/>
                <w:szCs w:val="19"/>
                <w:lang w:eastAsia="en-GB"/>
              </w:rPr>
              <w:t>Cows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1.00</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1.10</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1.15</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1.45</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0.75</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0.80</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 </w:t>
            </w:r>
          </w:p>
        </w:tc>
      </w:tr>
      <w:tr w:rsidR="00D76943" w:rsidRPr="00D76943" w:rsidTr="009900A8">
        <w:trPr>
          <w:trHeight w:val="300"/>
        </w:trPr>
        <w:tc>
          <w:tcPr>
            <w:tcW w:w="1340" w:type="pct"/>
            <w:vMerge/>
            <w:tcBorders>
              <w:top w:val="single" w:sz="4" w:space="0" w:color="auto"/>
              <w:left w:val="single" w:sz="4" w:space="0" w:color="auto"/>
              <w:bottom w:val="single" w:sz="4" w:space="0" w:color="000000"/>
              <w:right w:val="single" w:sz="4" w:space="0" w:color="000000"/>
            </w:tcBorders>
            <w:vAlign w:val="center"/>
            <w:hideMark/>
          </w:tcPr>
          <w:p w:rsidR="00A0119D" w:rsidRPr="00D76943" w:rsidRDefault="00A0119D" w:rsidP="00A0119D">
            <w:pPr>
              <w:spacing w:after="0"/>
              <w:jc w:val="left"/>
              <w:rPr>
                <w:rFonts w:eastAsia="Times New Roman"/>
                <w:color w:val="000000"/>
                <w:sz w:val="19"/>
                <w:szCs w:val="19"/>
                <w:lang w:eastAsia="en-GB"/>
              </w:rPr>
            </w:pP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r w:rsidRPr="00D76943">
              <w:rPr>
                <w:rFonts w:eastAsia="Times New Roman"/>
                <w:color w:val="000000"/>
                <w:sz w:val="19"/>
                <w:szCs w:val="19"/>
                <w:lang w:eastAsia="en-GB"/>
              </w:rPr>
              <w:t>Heifers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0.81</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 </w:t>
            </w:r>
          </w:p>
        </w:tc>
      </w:tr>
      <w:tr w:rsidR="00D76943" w:rsidRPr="00D76943" w:rsidTr="009900A8">
        <w:trPr>
          <w:trHeight w:val="300"/>
        </w:trPr>
        <w:tc>
          <w:tcPr>
            <w:tcW w:w="134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0119D" w:rsidRPr="00D76943" w:rsidRDefault="00A0119D" w:rsidP="00A0119D">
            <w:pPr>
              <w:spacing w:after="0"/>
              <w:jc w:val="left"/>
              <w:rPr>
                <w:rFonts w:eastAsia="Times New Roman"/>
                <w:color w:val="000000"/>
                <w:sz w:val="19"/>
                <w:szCs w:val="19"/>
                <w:lang w:eastAsia="en-GB"/>
              </w:rPr>
            </w:pPr>
            <w:r w:rsidRPr="00D76943">
              <w:rPr>
                <w:rFonts w:eastAsia="Times New Roman"/>
                <w:color w:val="000000"/>
                <w:sz w:val="19"/>
                <w:szCs w:val="19"/>
                <w:lang w:eastAsia="en-GB"/>
              </w:rPr>
              <w:t>Cost of Maize Supplement AR$/Day</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r w:rsidRPr="00D76943">
              <w:rPr>
                <w:rFonts w:eastAsia="Times New Roman"/>
                <w:color w:val="000000"/>
                <w:sz w:val="19"/>
                <w:szCs w:val="19"/>
                <w:lang w:eastAsia="en-GB"/>
              </w:rPr>
              <w:t>Cows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3.53</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3.88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4.06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5.12</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2.65</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2.82</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 </w:t>
            </w:r>
          </w:p>
        </w:tc>
      </w:tr>
      <w:tr w:rsidR="00D76943" w:rsidRPr="00D76943" w:rsidTr="009900A8">
        <w:trPr>
          <w:trHeight w:val="300"/>
        </w:trPr>
        <w:tc>
          <w:tcPr>
            <w:tcW w:w="1340" w:type="pct"/>
            <w:vMerge/>
            <w:tcBorders>
              <w:top w:val="single" w:sz="4" w:space="0" w:color="auto"/>
              <w:left w:val="single" w:sz="4" w:space="0" w:color="auto"/>
              <w:bottom w:val="single" w:sz="4" w:space="0" w:color="000000"/>
              <w:right w:val="single" w:sz="4" w:space="0" w:color="000000"/>
            </w:tcBorders>
            <w:vAlign w:val="center"/>
            <w:hideMark/>
          </w:tcPr>
          <w:p w:rsidR="00A0119D" w:rsidRPr="00D76943" w:rsidRDefault="00A0119D" w:rsidP="00A0119D">
            <w:pPr>
              <w:spacing w:after="0"/>
              <w:jc w:val="left"/>
              <w:rPr>
                <w:rFonts w:eastAsia="Times New Roman"/>
                <w:color w:val="000000"/>
                <w:sz w:val="19"/>
                <w:szCs w:val="19"/>
                <w:lang w:eastAsia="en-GB"/>
              </w:rPr>
            </w:pP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r w:rsidRPr="00D76943">
              <w:rPr>
                <w:rFonts w:eastAsia="Times New Roman"/>
                <w:color w:val="000000"/>
                <w:sz w:val="19"/>
                <w:szCs w:val="19"/>
                <w:lang w:eastAsia="en-GB"/>
              </w:rPr>
              <w:t>Heifers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2.86</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 </w:t>
            </w:r>
          </w:p>
        </w:tc>
      </w:tr>
      <w:tr w:rsidR="00D76943" w:rsidRPr="00D76943" w:rsidTr="009900A8">
        <w:trPr>
          <w:trHeight w:val="300"/>
        </w:trPr>
        <w:tc>
          <w:tcPr>
            <w:tcW w:w="1340"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119D" w:rsidRPr="00D76943" w:rsidRDefault="00A0119D" w:rsidP="00A0119D">
            <w:pPr>
              <w:spacing w:after="0"/>
              <w:jc w:val="left"/>
              <w:rPr>
                <w:rFonts w:eastAsia="Times New Roman"/>
                <w:color w:val="000000"/>
                <w:sz w:val="19"/>
                <w:szCs w:val="19"/>
                <w:lang w:eastAsia="en-GB"/>
              </w:rPr>
            </w:pPr>
            <w:r w:rsidRPr="00D76943">
              <w:rPr>
                <w:rFonts w:eastAsia="Times New Roman"/>
                <w:color w:val="000000"/>
                <w:sz w:val="19"/>
                <w:szCs w:val="19"/>
                <w:lang w:eastAsia="en-GB"/>
              </w:rPr>
              <w:t>Number of Insured Days</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9900A8" w:rsidP="009900A8">
            <w:pPr>
              <w:spacing w:after="0"/>
              <w:jc w:val="right"/>
              <w:rPr>
                <w:rFonts w:eastAsia="Times New Roman"/>
                <w:color w:val="000000"/>
                <w:sz w:val="19"/>
                <w:szCs w:val="19"/>
                <w:lang w:eastAsia="en-GB"/>
              </w:rPr>
            </w:pPr>
            <w:r>
              <w:rPr>
                <w:rFonts w:eastAsia="Times New Roman"/>
                <w:color w:val="000000"/>
                <w:sz w:val="19"/>
                <w:szCs w:val="19"/>
                <w:lang w:eastAsia="en-GB"/>
              </w:rPr>
              <w:t>30</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9900A8" w:rsidP="009900A8">
            <w:pPr>
              <w:spacing w:after="0"/>
              <w:jc w:val="right"/>
              <w:rPr>
                <w:rFonts w:eastAsia="Times New Roman"/>
                <w:color w:val="000000"/>
                <w:sz w:val="19"/>
                <w:szCs w:val="19"/>
                <w:lang w:eastAsia="en-GB"/>
              </w:rPr>
            </w:pPr>
            <w:r>
              <w:rPr>
                <w:rFonts w:eastAsia="Times New Roman"/>
                <w:color w:val="000000"/>
                <w:sz w:val="19"/>
                <w:szCs w:val="19"/>
                <w:lang w:eastAsia="en-GB"/>
              </w:rPr>
              <w:t>31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9900A8" w:rsidP="009900A8">
            <w:pPr>
              <w:spacing w:after="0"/>
              <w:jc w:val="right"/>
              <w:rPr>
                <w:rFonts w:eastAsia="Times New Roman"/>
                <w:color w:val="000000"/>
                <w:sz w:val="19"/>
                <w:szCs w:val="19"/>
                <w:lang w:eastAsia="en-GB"/>
              </w:rPr>
            </w:pPr>
            <w:r>
              <w:rPr>
                <w:rFonts w:eastAsia="Times New Roman"/>
                <w:color w:val="000000"/>
                <w:sz w:val="19"/>
                <w:szCs w:val="19"/>
                <w:lang w:eastAsia="en-GB"/>
              </w:rPr>
              <w:t>30</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9900A8" w:rsidP="009900A8">
            <w:pPr>
              <w:spacing w:after="0"/>
              <w:jc w:val="right"/>
              <w:rPr>
                <w:rFonts w:eastAsia="Times New Roman"/>
                <w:color w:val="000000"/>
                <w:sz w:val="19"/>
                <w:szCs w:val="19"/>
                <w:lang w:eastAsia="en-GB"/>
              </w:rPr>
            </w:pPr>
            <w:r>
              <w:rPr>
                <w:rFonts w:eastAsia="Times New Roman"/>
                <w:color w:val="000000"/>
                <w:sz w:val="19"/>
                <w:szCs w:val="19"/>
                <w:lang w:eastAsia="en-GB"/>
              </w:rPr>
              <w:t>31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9900A8" w:rsidP="009900A8">
            <w:pPr>
              <w:spacing w:after="0"/>
              <w:jc w:val="right"/>
              <w:rPr>
                <w:rFonts w:eastAsia="Times New Roman"/>
                <w:color w:val="000000"/>
                <w:sz w:val="19"/>
                <w:szCs w:val="19"/>
                <w:lang w:eastAsia="en-GB"/>
              </w:rPr>
            </w:pPr>
            <w:r>
              <w:rPr>
                <w:rFonts w:eastAsia="Times New Roman"/>
                <w:color w:val="000000"/>
                <w:sz w:val="19"/>
                <w:szCs w:val="19"/>
                <w:lang w:eastAsia="en-GB"/>
              </w:rPr>
              <w:t>30</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9900A8" w:rsidP="009900A8">
            <w:pPr>
              <w:spacing w:after="0"/>
              <w:jc w:val="right"/>
              <w:rPr>
                <w:rFonts w:eastAsia="Times New Roman"/>
                <w:color w:val="000000"/>
                <w:sz w:val="19"/>
                <w:szCs w:val="19"/>
                <w:lang w:eastAsia="en-GB"/>
              </w:rPr>
            </w:pPr>
            <w:r>
              <w:rPr>
                <w:rFonts w:eastAsia="Times New Roman"/>
                <w:color w:val="000000"/>
                <w:sz w:val="19"/>
                <w:szCs w:val="19"/>
                <w:lang w:eastAsia="en-GB"/>
              </w:rPr>
              <w:t>31</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 </w:t>
            </w:r>
          </w:p>
        </w:tc>
      </w:tr>
      <w:tr w:rsidR="00D76943" w:rsidRPr="00D76943" w:rsidTr="009900A8">
        <w:trPr>
          <w:trHeight w:val="300"/>
        </w:trPr>
        <w:tc>
          <w:tcPr>
            <w:tcW w:w="134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0119D" w:rsidRPr="00D76943" w:rsidRDefault="00A0119D" w:rsidP="00A0119D">
            <w:pPr>
              <w:spacing w:after="0"/>
              <w:jc w:val="left"/>
              <w:rPr>
                <w:rFonts w:eastAsia="Times New Roman"/>
                <w:color w:val="000000"/>
                <w:sz w:val="19"/>
                <w:szCs w:val="19"/>
                <w:lang w:eastAsia="en-GB"/>
              </w:rPr>
            </w:pPr>
            <w:r w:rsidRPr="00D76943">
              <w:rPr>
                <w:rFonts w:eastAsia="Times New Roman"/>
                <w:color w:val="000000"/>
                <w:sz w:val="19"/>
                <w:szCs w:val="19"/>
                <w:lang w:eastAsia="en-GB"/>
              </w:rPr>
              <w:t>Cost per Month / Sum Insured AR$</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r w:rsidRPr="00D76943">
              <w:rPr>
                <w:rFonts w:eastAsia="Times New Roman"/>
                <w:color w:val="000000"/>
                <w:sz w:val="19"/>
                <w:szCs w:val="19"/>
                <w:lang w:eastAsia="en-GB"/>
              </w:rPr>
              <w:t>Cows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105.88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120.35</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121.76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158.65</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79.41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87.53</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673.59</w:t>
            </w:r>
          </w:p>
        </w:tc>
      </w:tr>
      <w:tr w:rsidR="00D76943" w:rsidRPr="00D76943" w:rsidTr="009900A8">
        <w:trPr>
          <w:trHeight w:val="300"/>
        </w:trPr>
        <w:tc>
          <w:tcPr>
            <w:tcW w:w="1340" w:type="pct"/>
            <w:vMerge/>
            <w:tcBorders>
              <w:top w:val="single" w:sz="4" w:space="0" w:color="auto"/>
              <w:left w:val="single" w:sz="4" w:space="0" w:color="auto"/>
              <w:bottom w:val="single" w:sz="4" w:space="0" w:color="000000"/>
              <w:right w:val="single" w:sz="4" w:space="0" w:color="000000"/>
            </w:tcBorders>
            <w:vAlign w:val="center"/>
            <w:hideMark/>
          </w:tcPr>
          <w:p w:rsidR="00A0119D" w:rsidRPr="00D76943" w:rsidRDefault="00A0119D" w:rsidP="00A0119D">
            <w:pPr>
              <w:spacing w:after="0"/>
              <w:jc w:val="left"/>
              <w:rPr>
                <w:rFonts w:eastAsia="Times New Roman"/>
                <w:color w:val="000000"/>
                <w:sz w:val="19"/>
                <w:szCs w:val="19"/>
                <w:lang w:eastAsia="en-GB"/>
              </w:rPr>
            </w:pP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color w:val="000000"/>
                <w:sz w:val="19"/>
                <w:szCs w:val="19"/>
                <w:lang w:eastAsia="en-GB"/>
              </w:rPr>
            </w:pPr>
            <w:r w:rsidRPr="00D76943">
              <w:rPr>
                <w:rFonts w:eastAsia="Times New Roman"/>
                <w:color w:val="000000"/>
                <w:sz w:val="19"/>
                <w:szCs w:val="19"/>
                <w:lang w:eastAsia="en-GB"/>
              </w:rPr>
              <w:t>Heifers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85.76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88.62</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85.76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88.62</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85.76</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color w:val="000000"/>
                <w:sz w:val="19"/>
                <w:szCs w:val="19"/>
                <w:lang w:eastAsia="en-GB"/>
              </w:rPr>
            </w:pPr>
            <w:r w:rsidRPr="00D76943">
              <w:rPr>
                <w:rFonts w:eastAsia="Times New Roman"/>
                <w:color w:val="000000"/>
                <w:sz w:val="19"/>
                <w:szCs w:val="19"/>
                <w:lang w:eastAsia="en-GB"/>
              </w:rPr>
              <w:t>88.62</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523.16</w:t>
            </w:r>
          </w:p>
        </w:tc>
      </w:tr>
      <w:tr w:rsidR="00D76943" w:rsidRPr="00D76943" w:rsidTr="009900A8">
        <w:trPr>
          <w:trHeight w:val="300"/>
        </w:trPr>
        <w:tc>
          <w:tcPr>
            <w:tcW w:w="1340" w:type="pct"/>
            <w:tcBorders>
              <w:top w:val="single" w:sz="4" w:space="0" w:color="auto"/>
              <w:left w:val="single" w:sz="4" w:space="0" w:color="auto"/>
              <w:bottom w:val="nil"/>
              <w:right w:val="single" w:sz="4" w:space="0" w:color="000000"/>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 xml:space="preserve">Sum Insured </w:t>
            </w:r>
            <w:r w:rsidR="00D76943" w:rsidRPr="00D76943">
              <w:rPr>
                <w:rFonts w:eastAsia="Times New Roman"/>
                <w:b/>
                <w:bCs/>
                <w:color w:val="000000"/>
                <w:sz w:val="19"/>
                <w:szCs w:val="19"/>
                <w:lang w:eastAsia="en-GB"/>
              </w:rPr>
              <w:br/>
            </w:r>
            <w:r w:rsidRPr="00D76943">
              <w:rPr>
                <w:rFonts w:eastAsia="Times New Roman"/>
                <w:b/>
                <w:bCs/>
                <w:color w:val="000000"/>
                <w:sz w:val="19"/>
                <w:szCs w:val="19"/>
                <w:lang w:eastAsia="en-GB"/>
              </w:rPr>
              <w:t xml:space="preserve">(50% of </w:t>
            </w:r>
            <w:r w:rsidR="00937F0B" w:rsidRPr="00D76943">
              <w:rPr>
                <w:rFonts w:eastAsia="Times New Roman"/>
                <w:b/>
                <w:bCs/>
                <w:color w:val="000000"/>
                <w:sz w:val="19"/>
                <w:szCs w:val="19"/>
                <w:lang w:eastAsia="en-GB"/>
              </w:rPr>
              <w:t>Nutritional</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color w:val="000000"/>
                <w:sz w:val="19"/>
                <w:szCs w:val="19"/>
                <w:lang w:eastAsia="en-GB"/>
              </w:rPr>
            </w:pPr>
            <w:r w:rsidRPr="00D76943">
              <w:rPr>
                <w:rFonts w:eastAsia="Times New Roman"/>
                <w:b/>
                <w:color w:val="000000"/>
                <w:sz w:val="19"/>
                <w:szCs w:val="19"/>
                <w:lang w:eastAsia="en-GB"/>
              </w:rPr>
              <w:t>Cows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52.94</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60.18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60.88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79.32</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39.71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43.76</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336.79</w:t>
            </w:r>
          </w:p>
        </w:tc>
      </w:tr>
      <w:tr w:rsidR="00D76943" w:rsidRPr="00D76943" w:rsidTr="009900A8">
        <w:trPr>
          <w:trHeight w:val="300"/>
        </w:trPr>
        <w:tc>
          <w:tcPr>
            <w:tcW w:w="1340" w:type="pct"/>
            <w:tcBorders>
              <w:top w:val="nil"/>
              <w:left w:val="single" w:sz="4" w:space="0" w:color="auto"/>
              <w:bottom w:val="single" w:sz="4" w:space="0" w:color="auto"/>
              <w:right w:val="single" w:sz="4" w:space="0" w:color="000000"/>
            </w:tcBorders>
            <w:shd w:val="clear" w:color="auto" w:fill="auto"/>
            <w:noWrap/>
            <w:vAlign w:val="center"/>
            <w:hideMark/>
          </w:tcPr>
          <w:p w:rsidR="00A0119D" w:rsidRPr="00D76943" w:rsidRDefault="00A0119D" w:rsidP="009900A8">
            <w:pPr>
              <w:spacing w:after="0"/>
              <w:jc w:val="center"/>
              <w:rPr>
                <w:rFonts w:eastAsia="Times New Roman"/>
                <w:b/>
                <w:bCs/>
                <w:color w:val="000000"/>
                <w:sz w:val="19"/>
                <w:szCs w:val="19"/>
                <w:lang w:eastAsia="en-GB"/>
              </w:rPr>
            </w:pPr>
            <w:r w:rsidRPr="00D76943">
              <w:rPr>
                <w:rFonts w:eastAsia="Times New Roman"/>
                <w:b/>
                <w:bCs/>
                <w:color w:val="000000"/>
                <w:sz w:val="19"/>
                <w:szCs w:val="19"/>
                <w:lang w:eastAsia="en-GB"/>
              </w:rPr>
              <w:t>Requirements) AR$/Animal</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A0119D" w:rsidRPr="00D76943" w:rsidRDefault="00A0119D" w:rsidP="009900A8">
            <w:pPr>
              <w:spacing w:after="0"/>
              <w:jc w:val="center"/>
              <w:rPr>
                <w:rFonts w:eastAsia="Times New Roman"/>
                <w:b/>
                <w:color w:val="000000"/>
                <w:sz w:val="19"/>
                <w:szCs w:val="19"/>
                <w:lang w:eastAsia="en-GB"/>
              </w:rPr>
            </w:pPr>
            <w:r w:rsidRPr="00D76943">
              <w:rPr>
                <w:rFonts w:eastAsia="Times New Roman"/>
                <w:b/>
                <w:color w:val="000000"/>
                <w:sz w:val="19"/>
                <w:szCs w:val="19"/>
                <w:lang w:eastAsia="en-GB"/>
              </w:rPr>
              <w:t>Heifers</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42.88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44.31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42.88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44.31</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42.88</w:t>
            </w:r>
          </w:p>
        </w:tc>
        <w:tc>
          <w:tcPr>
            <w:tcW w:w="425"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44.31</w:t>
            </w:r>
          </w:p>
        </w:tc>
        <w:tc>
          <w:tcPr>
            <w:tcW w:w="557" w:type="pct"/>
            <w:tcBorders>
              <w:top w:val="nil"/>
              <w:left w:val="nil"/>
              <w:bottom w:val="single" w:sz="4" w:space="0" w:color="auto"/>
              <w:right w:val="single" w:sz="4" w:space="0" w:color="auto"/>
            </w:tcBorders>
            <w:shd w:val="clear" w:color="auto" w:fill="auto"/>
            <w:noWrap/>
            <w:vAlign w:val="center"/>
            <w:hideMark/>
          </w:tcPr>
          <w:p w:rsidR="00A0119D" w:rsidRPr="00D76943" w:rsidRDefault="00A0119D" w:rsidP="009900A8">
            <w:pPr>
              <w:spacing w:after="0"/>
              <w:jc w:val="right"/>
              <w:rPr>
                <w:rFonts w:eastAsia="Times New Roman"/>
                <w:b/>
                <w:bCs/>
                <w:color w:val="000000"/>
                <w:sz w:val="19"/>
                <w:szCs w:val="19"/>
                <w:lang w:eastAsia="en-GB"/>
              </w:rPr>
            </w:pPr>
            <w:r w:rsidRPr="00D76943">
              <w:rPr>
                <w:rFonts w:eastAsia="Times New Roman"/>
                <w:b/>
                <w:bCs/>
                <w:color w:val="000000"/>
                <w:sz w:val="19"/>
                <w:szCs w:val="19"/>
                <w:lang w:eastAsia="en-GB"/>
              </w:rPr>
              <w:t>261.58</w:t>
            </w:r>
          </w:p>
        </w:tc>
      </w:tr>
    </w:tbl>
    <w:p w:rsidR="00902887" w:rsidRPr="00FE24C0" w:rsidRDefault="00902887" w:rsidP="000E35EC">
      <w:pPr>
        <w:pStyle w:val="Source"/>
        <w:rPr>
          <w:lang w:eastAsia="es-NI"/>
        </w:rPr>
      </w:pPr>
      <w:r w:rsidRPr="00FE24C0">
        <w:t xml:space="preserve">Source: Authors’ NDVI Rating </w:t>
      </w:r>
      <w:r w:rsidR="00937F0B" w:rsidRPr="00FE24C0">
        <w:t>Database</w:t>
      </w:r>
      <w:r w:rsidR="003928B9" w:rsidRPr="00FE24C0">
        <w:t xml:space="preserve"> (See Annex </w:t>
      </w:r>
      <w:r w:rsidR="00D07306" w:rsidRPr="00FE24C0">
        <w:t>2</w:t>
      </w:r>
      <w:r w:rsidR="003928B9" w:rsidRPr="00FE24C0">
        <w:t>)</w:t>
      </w:r>
    </w:p>
    <w:p w:rsidR="009473C5" w:rsidRPr="00FE24C0" w:rsidRDefault="005B7615" w:rsidP="00D96CE8">
      <w:pPr>
        <w:pStyle w:val="HeadFiguresTablesBoxes"/>
      </w:pPr>
      <w:proofErr w:type="gramStart"/>
      <w:r w:rsidRPr="00FE24C0">
        <w:t>Table 5</w:t>
      </w:r>
      <w:r w:rsidR="000129A6" w:rsidRPr="00FE24C0">
        <w:t>.</w:t>
      </w:r>
      <w:r w:rsidR="00E86206" w:rsidRPr="00FE24C0">
        <w:t>6</w:t>
      </w:r>
      <w:r w:rsidR="000129A6" w:rsidRPr="00FE24C0">
        <w:t>.</w:t>
      </w:r>
      <w:proofErr w:type="gramEnd"/>
      <w:r w:rsidR="00A51F3E" w:rsidRPr="00FE24C0">
        <w:t xml:space="preserve"> Estimated Total Sum Insured by Department for 6 Month </w:t>
      </w:r>
      <w:r w:rsidRPr="00FE24C0">
        <w:t xml:space="preserve">NDVI Insurance </w:t>
      </w:r>
      <w:r w:rsidR="00A51F3E" w:rsidRPr="00FE24C0">
        <w:t>Cover (AR$)</w:t>
      </w:r>
    </w:p>
    <w:tbl>
      <w:tblPr>
        <w:tblW w:w="8555" w:type="dxa"/>
        <w:tblInd w:w="103" w:type="dxa"/>
        <w:tblLook w:val="04A0"/>
      </w:tblPr>
      <w:tblGrid>
        <w:gridCol w:w="1355"/>
        <w:gridCol w:w="990"/>
        <w:gridCol w:w="1080"/>
        <w:gridCol w:w="1216"/>
        <w:gridCol w:w="1214"/>
        <w:gridCol w:w="1440"/>
        <w:gridCol w:w="1260"/>
      </w:tblGrid>
      <w:tr w:rsidR="00031EC9" w:rsidRPr="00FE24C0" w:rsidTr="00031EC9">
        <w:trPr>
          <w:trHeight w:val="76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391" w:rsidRPr="00FE24C0" w:rsidRDefault="00D97186" w:rsidP="00292F55">
            <w:pPr>
              <w:jc w:val="center"/>
              <w:rPr>
                <w:b/>
                <w:sz w:val="20"/>
                <w:szCs w:val="20"/>
                <w:lang w:eastAsia="en-GB"/>
              </w:rPr>
            </w:pPr>
            <w:r w:rsidRPr="00FE24C0">
              <w:rPr>
                <w:b/>
                <w:sz w:val="20"/>
                <w:szCs w:val="20"/>
                <w:lang w:eastAsia="en-GB"/>
              </w:rPr>
              <w:t>Department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821391" w:rsidRPr="00FE24C0" w:rsidRDefault="00D97186" w:rsidP="00292F55">
            <w:pPr>
              <w:jc w:val="center"/>
              <w:rPr>
                <w:b/>
                <w:sz w:val="20"/>
                <w:szCs w:val="20"/>
                <w:lang w:eastAsia="en-GB"/>
              </w:rPr>
            </w:pPr>
            <w:r w:rsidRPr="00FE24C0">
              <w:rPr>
                <w:b/>
                <w:sz w:val="20"/>
                <w:szCs w:val="20"/>
                <w:lang w:eastAsia="en-GB"/>
              </w:rPr>
              <w:t>Nº Insured Cows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21391" w:rsidRPr="00FE24C0" w:rsidRDefault="00D97186" w:rsidP="00292F55">
            <w:pPr>
              <w:jc w:val="center"/>
              <w:rPr>
                <w:b/>
                <w:sz w:val="20"/>
                <w:szCs w:val="20"/>
                <w:lang w:eastAsia="en-GB"/>
              </w:rPr>
            </w:pPr>
            <w:r w:rsidRPr="00FE24C0">
              <w:rPr>
                <w:b/>
                <w:sz w:val="20"/>
                <w:szCs w:val="20"/>
                <w:lang w:eastAsia="en-GB"/>
              </w:rPr>
              <w:t>Nº Insured Heifers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821391" w:rsidRPr="00FE24C0" w:rsidRDefault="00D97186" w:rsidP="00292F55">
            <w:pPr>
              <w:jc w:val="center"/>
              <w:rPr>
                <w:b/>
                <w:sz w:val="20"/>
                <w:szCs w:val="20"/>
                <w:lang w:eastAsia="en-GB"/>
              </w:rPr>
            </w:pPr>
            <w:r w:rsidRPr="00FE24C0">
              <w:rPr>
                <w:b/>
                <w:sz w:val="20"/>
                <w:szCs w:val="20"/>
                <w:lang w:eastAsia="en-GB"/>
              </w:rPr>
              <w:t>Sum Insured Cows (AR$)</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821391" w:rsidRPr="00FE24C0" w:rsidRDefault="00D97186" w:rsidP="00292F55">
            <w:pPr>
              <w:jc w:val="center"/>
              <w:rPr>
                <w:b/>
                <w:sz w:val="20"/>
                <w:szCs w:val="20"/>
                <w:lang w:eastAsia="en-GB"/>
              </w:rPr>
            </w:pPr>
            <w:r w:rsidRPr="00FE24C0">
              <w:rPr>
                <w:b/>
                <w:sz w:val="20"/>
                <w:szCs w:val="20"/>
                <w:lang w:eastAsia="en-GB"/>
              </w:rPr>
              <w:t>Sum Insured Heifers (AR$)</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21391" w:rsidRPr="00FE24C0" w:rsidRDefault="00D97186" w:rsidP="00292F55">
            <w:pPr>
              <w:jc w:val="center"/>
              <w:rPr>
                <w:b/>
                <w:sz w:val="20"/>
                <w:szCs w:val="20"/>
                <w:lang w:eastAsia="en-GB"/>
              </w:rPr>
            </w:pPr>
            <w:r w:rsidRPr="00FE24C0">
              <w:rPr>
                <w:b/>
                <w:sz w:val="20"/>
                <w:szCs w:val="20"/>
                <w:lang w:eastAsia="en-GB"/>
              </w:rPr>
              <w:t>Total Sum Insured (AR$)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21391" w:rsidRPr="00FE24C0" w:rsidRDefault="00D97186" w:rsidP="00292F55">
            <w:pPr>
              <w:spacing w:after="0"/>
              <w:jc w:val="center"/>
              <w:rPr>
                <w:rFonts w:eastAsia="Times New Roman"/>
                <w:b/>
                <w:color w:val="000000"/>
                <w:sz w:val="20"/>
                <w:szCs w:val="20"/>
                <w:lang w:eastAsia="en-GB"/>
              </w:rPr>
            </w:pPr>
            <w:r w:rsidRPr="00FE24C0">
              <w:rPr>
                <w:rFonts w:eastAsia="Times New Roman"/>
                <w:b/>
                <w:color w:val="000000"/>
                <w:sz w:val="20"/>
                <w:szCs w:val="20"/>
                <w:lang w:eastAsia="en-GB"/>
              </w:rPr>
              <w:t>% of Sum Insured by Department</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spacing w:after="0"/>
              <w:jc w:val="left"/>
              <w:rPr>
                <w:rFonts w:eastAsia="Times New Roman"/>
                <w:color w:val="000000"/>
                <w:sz w:val="20"/>
                <w:szCs w:val="20"/>
                <w:lang w:eastAsia="en-GB"/>
              </w:rPr>
            </w:pPr>
            <w:r w:rsidRPr="00FE24C0">
              <w:rPr>
                <w:rFonts w:eastAsia="Times New Roman"/>
                <w:color w:val="000000"/>
                <w:sz w:val="20"/>
                <w:szCs w:val="20"/>
                <w:lang w:eastAsia="en-GB"/>
              </w:rPr>
              <w:t>Adolfo Alsina</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67,896</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29,273</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22,866,973</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7,657,300</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$ 30,524,274</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9%</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spacing w:after="0"/>
              <w:jc w:val="left"/>
              <w:rPr>
                <w:rFonts w:eastAsia="Times New Roman"/>
                <w:color w:val="000000"/>
                <w:sz w:val="20"/>
                <w:szCs w:val="20"/>
                <w:lang w:eastAsia="en-GB"/>
              </w:rPr>
            </w:pPr>
            <w:r w:rsidRPr="00FE24C0">
              <w:rPr>
                <w:rFonts w:eastAsia="Times New Roman"/>
                <w:color w:val="000000"/>
                <w:sz w:val="20"/>
                <w:szCs w:val="20"/>
                <w:lang w:eastAsia="en-GB"/>
              </w:rPr>
              <w:t>Bahía Blanca</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22,913</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14,497</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7,716,964</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3,792,159</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$ 11,509,123</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3%</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spacing w:after="0"/>
              <w:jc w:val="left"/>
              <w:rPr>
                <w:rFonts w:eastAsia="Times New Roman"/>
                <w:color w:val="000000"/>
                <w:sz w:val="20"/>
                <w:szCs w:val="20"/>
                <w:lang w:eastAsia="en-GB"/>
              </w:rPr>
            </w:pPr>
            <w:r w:rsidRPr="00FE24C0">
              <w:rPr>
                <w:rFonts w:eastAsia="Times New Roman"/>
                <w:color w:val="000000"/>
                <w:sz w:val="20"/>
                <w:szCs w:val="20"/>
                <w:lang w:eastAsia="en-GB"/>
              </w:rPr>
              <w:t>Cnel. Suarez</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73,587</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25,908</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24,783,669</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6,777,076</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$ 31,560,744</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spacing w:after="0"/>
              <w:jc w:val="center"/>
              <w:rPr>
                <w:rFonts w:eastAsia="Times New Roman"/>
                <w:color w:val="000000"/>
                <w:sz w:val="20"/>
                <w:szCs w:val="20"/>
                <w:lang w:eastAsia="en-GB"/>
              </w:rPr>
            </w:pPr>
            <w:r w:rsidRPr="00FE24C0">
              <w:rPr>
                <w:color w:val="000000"/>
                <w:sz w:val="20"/>
                <w:szCs w:val="20"/>
              </w:rPr>
              <w:t>9%</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Dorrego</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46,343</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15,911</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15,608,050</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4,162,037</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$ 19,770,087</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6%</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Guaminí</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45,547</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18,919</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15,339,962</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4,948,877</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$ 20,288,838</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6%</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Patagones</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69,402</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27,012</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23,374,185</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7,065,863</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$ 30,440,048</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9%</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Pringles</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104,960</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33,694</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35,349,911</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8,813,756</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$ 44,163,666</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13%</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Puan</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81,276</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31,265</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27,373,279</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8,178,372</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$ 35,551,651</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11%</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Rosales</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13,454</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3,376</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4,531,228</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883,102</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$ 5,414,330</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2%</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Saavedra</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55,026</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16,497</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18,532,433</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4,315,324</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$ 22,847,757</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7%</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Tornquist</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57,077</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29,990</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19,223,198</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7,844,855</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$ 27,068,053</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8%</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031EC9">
            <w:pPr>
              <w:tabs>
                <w:tab w:val="center" w:pos="4320"/>
                <w:tab w:val="right" w:pos="8640"/>
              </w:tabs>
              <w:spacing w:after="0"/>
              <w:jc w:val="left"/>
              <w:rPr>
                <w:rFonts w:eastAsia="Times New Roman"/>
                <w:color w:val="000000"/>
                <w:sz w:val="20"/>
                <w:szCs w:val="20"/>
                <w:lang w:eastAsia="en-GB"/>
              </w:rPr>
            </w:pPr>
            <w:r w:rsidRPr="00FE24C0">
              <w:rPr>
                <w:rFonts w:eastAsia="Times New Roman"/>
                <w:color w:val="000000"/>
                <w:sz w:val="20"/>
                <w:szCs w:val="20"/>
                <w:lang w:eastAsia="en-GB"/>
              </w:rPr>
              <w:t>Villarino</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126,705</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48,179</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42,673,499</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12,602,776</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$ 55,276,275</w:t>
            </w:r>
          </w:p>
        </w:tc>
        <w:tc>
          <w:tcPr>
            <w:tcW w:w="1260" w:type="dxa"/>
            <w:tcBorders>
              <w:top w:val="nil"/>
              <w:left w:val="nil"/>
              <w:bottom w:val="single" w:sz="4" w:space="0" w:color="auto"/>
              <w:right w:val="single" w:sz="4" w:space="0" w:color="auto"/>
            </w:tcBorders>
            <w:shd w:val="clear" w:color="auto" w:fill="auto"/>
            <w:noWrap/>
            <w:vAlign w:val="bottom"/>
            <w:hideMark/>
          </w:tcPr>
          <w:p w:rsidR="00854F6E" w:rsidRPr="00FE24C0" w:rsidRDefault="00D97186" w:rsidP="00821391">
            <w:pPr>
              <w:tabs>
                <w:tab w:val="center" w:pos="4320"/>
                <w:tab w:val="right" w:pos="8640"/>
              </w:tabs>
              <w:spacing w:after="0"/>
              <w:jc w:val="center"/>
              <w:rPr>
                <w:rFonts w:eastAsia="Times New Roman"/>
                <w:color w:val="000000"/>
                <w:sz w:val="20"/>
                <w:szCs w:val="20"/>
                <w:lang w:eastAsia="en-GB"/>
              </w:rPr>
            </w:pPr>
            <w:r w:rsidRPr="00FE24C0">
              <w:rPr>
                <w:color w:val="000000"/>
                <w:sz w:val="20"/>
                <w:szCs w:val="20"/>
              </w:rPr>
              <w:t>17%</w:t>
            </w:r>
          </w:p>
        </w:tc>
      </w:tr>
      <w:tr w:rsidR="00031EC9" w:rsidRPr="00FE24C0" w:rsidTr="00031EC9">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spacing w:after="0"/>
              <w:jc w:val="center"/>
              <w:rPr>
                <w:rFonts w:eastAsia="Times New Roman"/>
                <w:b/>
                <w:color w:val="000000"/>
                <w:sz w:val="20"/>
                <w:szCs w:val="20"/>
                <w:lang w:eastAsia="en-GB"/>
              </w:rPr>
            </w:pPr>
            <w:r w:rsidRPr="00FE24C0">
              <w:rPr>
                <w:rFonts w:eastAsia="Times New Roman"/>
                <w:b/>
                <w:color w:val="000000"/>
                <w:sz w:val="20"/>
                <w:szCs w:val="20"/>
                <w:lang w:eastAsia="en-GB"/>
              </w:rPr>
              <w:t>Total SWBA</w:t>
            </w:r>
          </w:p>
        </w:tc>
        <w:tc>
          <w:tcPr>
            <w:tcW w:w="99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jc w:val="center"/>
              <w:rPr>
                <w:rFonts w:eastAsia="Times New Roman"/>
                <w:b/>
                <w:sz w:val="20"/>
                <w:szCs w:val="20"/>
                <w:lang w:eastAsia="en-GB"/>
              </w:rPr>
            </w:pPr>
            <w:r w:rsidRPr="00FE24C0">
              <w:rPr>
                <w:b/>
                <w:sz w:val="20"/>
                <w:szCs w:val="20"/>
              </w:rPr>
              <w:t>764,186</w:t>
            </w:r>
          </w:p>
        </w:tc>
        <w:tc>
          <w:tcPr>
            <w:tcW w:w="108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jc w:val="center"/>
              <w:rPr>
                <w:rFonts w:eastAsia="Times New Roman"/>
                <w:b/>
                <w:sz w:val="20"/>
                <w:szCs w:val="20"/>
                <w:lang w:eastAsia="en-GB"/>
              </w:rPr>
            </w:pPr>
            <w:r w:rsidRPr="00FE24C0">
              <w:rPr>
                <w:b/>
                <w:sz w:val="20"/>
                <w:szCs w:val="20"/>
              </w:rPr>
              <w:t>294,521</w:t>
            </w:r>
          </w:p>
        </w:tc>
        <w:tc>
          <w:tcPr>
            <w:tcW w:w="1216"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jc w:val="center"/>
              <w:rPr>
                <w:rFonts w:eastAsia="Times New Roman"/>
                <w:b/>
                <w:sz w:val="20"/>
                <w:szCs w:val="20"/>
                <w:lang w:eastAsia="en-GB"/>
              </w:rPr>
            </w:pPr>
            <w:r w:rsidRPr="00FE24C0">
              <w:rPr>
                <w:b/>
                <w:sz w:val="20"/>
                <w:szCs w:val="20"/>
              </w:rPr>
              <w:t>257,373,350</w:t>
            </w:r>
          </w:p>
        </w:tc>
        <w:tc>
          <w:tcPr>
            <w:tcW w:w="1214"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jc w:val="center"/>
              <w:rPr>
                <w:rFonts w:eastAsia="Times New Roman"/>
                <w:b/>
                <w:sz w:val="20"/>
                <w:szCs w:val="20"/>
                <w:lang w:eastAsia="en-GB"/>
              </w:rPr>
            </w:pPr>
            <w:r w:rsidRPr="00FE24C0">
              <w:rPr>
                <w:b/>
                <w:sz w:val="20"/>
                <w:szCs w:val="20"/>
              </w:rPr>
              <w:t>77,041,496</w:t>
            </w:r>
          </w:p>
        </w:tc>
        <w:tc>
          <w:tcPr>
            <w:tcW w:w="144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jc w:val="center"/>
              <w:rPr>
                <w:rFonts w:eastAsia="Times New Roman"/>
                <w:b/>
                <w:sz w:val="20"/>
                <w:szCs w:val="20"/>
                <w:lang w:eastAsia="en-GB"/>
              </w:rPr>
            </w:pPr>
            <w:r w:rsidRPr="00FE24C0">
              <w:rPr>
                <w:b/>
                <w:sz w:val="20"/>
                <w:szCs w:val="20"/>
              </w:rPr>
              <w:t>$ 334,414,846</w:t>
            </w:r>
          </w:p>
        </w:tc>
        <w:tc>
          <w:tcPr>
            <w:tcW w:w="1260" w:type="dxa"/>
            <w:tcBorders>
              <w:top w:val="nil"/>
              <w:left w:val="nil"/>
              <w:bottom w:val="single" w:sz="4" w:space="0" w:color="auto"/>
              <w:right w:val="single" w:sz="4" w:space="0" w:color="auto"/>
            </w:tcBorders>
            <w:shd w:val="clear" w:color="auto" w:fill="auto"/>
            <w:noWrap/>
            <w:vAlign w:val="center"/>
            <w:hideMark/>
          </w:tcPr>
          <w:p w:rsidR="00854F6E" w:rsidRPr="00FE24C0" w:rsidRDefault="00D97186" w:rsidP="00292F55">
            <w:pPr>
              <w:tabs>
                <w:tab w:val="center" w:pos="4320"/>
                <w:tab w:val="right" w:pos="8640"/>
              </w:tabs>
              <w:spacing w:after="0"/>
              <w:jc w:val="center"/>
              <w:rPr>
                <w:rFonts w:eastAsia="Times New Roman"/>
                <w:b/>
                <w:bCs/>
                <w:color w:val="000000"/>
                <w:sz w:val="20"/>
                <w:szCs w:val="20"/>
                <w:lang w:eastAsia="en-GB"/>
              </w:rPr>
            </w:pPr>
            <w:r w:rsidRPr="00FE24C0">
              <w:rPr>
                <w:b/>
                <w:bCs/>
                <w:color w:val="000000"/>
                <w:sz w:val="20"/>
                <w:szCs w:val="20"/>
              </w:rPr>
              <w:t>100%</w:t>
            </w:r>
          </w:p>
        </w:tc>
      </w:tr>
    </w:tbl>
    <w:p w:rsidR="00E6454B" w:rsidRPr="00FE24C0" w:rsidRDefault="00A51F3E" w:rsidP="000E35EC">
      <w:pPr>
        <w:pStyle w:val="Source"/>
        <w:rPr>
          <w:lang w:eastAsia="es-NI"/>
        </w:rPr>
      </w:pPr>
      <w:r w:rsidRPr="00FE24C0">
        <w:rPr>
          <w:lang w:eastAsia="es-NI"/>
        </w:rPr>
        <w:t xml:space="preserve">Source: Authors analysis contained in Livestock </w:t>
      </w:r>
      <w:r w:rsidR="005B7615" w:rsidRPr="00FE24C0">
        <w:rPr>
          <w:lang w:eastAsia="es-NI"/>
        </w:rPr>
        <w:t xml:space="preserve">NDVI </w:t>
      </w:r>
      <w:r w:rsidRPr="00FE24C0">
        <w:rPr>
          <w:lang w:eastAsia="es-NI"/>
        </w:rPr>
        <w:t>Rating Data-base</w:t>
      </w:r>
    </w:p>
    <w:p w:rsidR="00311A14" w:rsidRDefault="00311A14" w:rsidP="00D96CE8">
      <w:pPr>
        <w:pStyle w:val="HeadFiguresTablesBoxes"/>
      </w:pPr>
    </w:p>
    <w:p w:rsidR="005B7615" w:rsidRPr="00FE24C0" w:rsidRDefault="005B7615" w:rsidP="00D96CE8">
      <w:pPr>
        <w:pStyle w:val="HeadFiguresTablesBoxes"/>
      </w:pPr>
      <w:proofErr w:type="gramStart"/>
      <w:r w:rsidRPr="00FE24C0">
        <w:lastRenderedPageBreak/>
        <w:t>Figure 5.6.</w:t>
      </w:r>
      <w:proofErr w:type="gramEnd"/>
      <w:r w:rsidRPr="00FE24C0">
        <w:t xml:space="preserve"> Distribution of NDVI Total Sum Insured by Department (AR$) </w:t>
      </w:r>
    </w:p>
    <w:p w:rsidR="005B7615" w:rsidRPr="00FE24C0" w:rsidRDefault="00130500" w:rsidP="00311A14">
      <w:pPr>
        <w:pStyle w:val="APDroughtPara"/>
        <w:numPr>
          <w:ilvl w:val="0"/>
          <w:numId w:val="0"/>
        </w:numPr>
        <w:tabs>
          <w:tab w:val="left" w:pos="839"/>
        </w:tabs>
        <w:spacing w:after="0"/>
        <w:outlineLvl w:val="9"/>
        <w:rPr>
          <w:szCs w:val="22"/>
          <w:lang w:eastAsia="es-NI"/>
        </w:rPr>
      </w:pPr>
      <w:r w:rsidRPr="00FE24C0">
        <w:rPr>
          <w:noProof/>
          <w:szCs w:val="22"/>
          <w:lang w:val="es-AR" w:eastAsia="es-AR"/>
        </w:rPr>
        <w:drawing>
          <wp:inline distT="0" distB="0" distL="0" distR="0">
            <wp:extent cx="3010753" cy="3248167"/>
            <wp:effectExtent l="19050" t="0" r="0" b="0"/>
            <wp:docPr id="29" name="Picture 1" descr="C:\Users\Charles\AppData\Local\Microsoft\Windows\Temporary Internet Files\Content.IE5\M1J16ATY\SOBA_SA Total x D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AppData\Local\Microsoft\Windows\Temporary Internet Files\Content.IE5\M1J16ATY\SOBA_SA Total x Dpto.jpg"/>
                    <pic:cNvPicPr>
                      <a:picLocks noChangeAspect="1" noChangeArrowheads="1"/>
                    </pic:cNvPicPr>
                  </pic:nvPicPr>
                  <pic:blipFill>
                    <a:blip r:embed="rId35" cstate="print"/>
                    <a:srcRect b="4539"/>
                    <a:stretch>
                      <a:fillRect/>
                    </a:stretch>
                  </pic:blipFill>
                  <pic:spPr bwMode="auto">
                    <a:xfrm>
                      <a:off x="0" y="0"/>
                      <a:ext cx="3012772" cy="3250345"/>
                    </a:xfrm>
                    <a:prstGeom prst="rect">
                      <a:avLst/>
                    </a:prstGeom>
                    <a:noFill/>
                    <a:ln w="9525">
                      <a:noFill/>
                      <a:miter lim="800000"/>
                      <a:headEnd/>
                      <a:tailEnd/>
                    </a:ln>
                  </pic:spPr>
                </pic:pic>
              </a:graphicData>
            </a:graphic>
          </wp:inline>
        </w:drawing>
      </w:r>
    </w:p>
    <w:p w:rsidR="005B7615" w:rsidRPr="00FE24C0" w:rsidRDefault="00E86206" w:rsidP="000E35EC">
      <w:pPr>
        <w:pStyle w:val="Source"/>
        <w:rPr>
          <w:sz w:val="22"/>
          <w:szCs w:val="22"/>
          <w:lang w:eastAsia="es-NI"/>
        </w:rPr>
      </w:pPr>
      <w:r w:rsidRPr="00FE24C0">
        <w:rPr>
          <w:lang w:eastAsia="es-NI"/>
        </w:rPr>
        <w:t>Source: Authors analysis,</w:t>
      </w:r>
      <w:r w:rsidR="005B7615" w:rsidRPr="00FE24C0">
        <w:rPr>
          <w:lang w:eastAsia="es-NI"/>
        </w:rPr>
        <w:t xml:space="preserve"> Livestock NDVI Rating Data-base</w:t>
      </w:r>
    </w:p>
    <w:p w:rsidR="000C6233" w:rsidRPr="004D6A58" w:rsidRDefault="001A24FC" w:rsidP="004D6A58">
      <w:pPr>
        <w:pStyle w:val="WBReport"/>
      </w:pPr>
      <w:r w:rsidRPr="00311A14">
        <w:rPr>
          <w:b/>
          <w:i/>
        </w:rPr>
        <w:t xml:space="preserve">The distribution of the sum insured per Cuartel </w:t>
      </w:r>
      <w:r w:rsidR="00775A60" w:rsidRPr="00311A14">
        <w:rPr>
          <w:b/>
          <w:i/>
        </w:rPr>
        <w:t xml:space="preserve">(Insured Unit) </w:t>
      </w:r>
      <w:r w:rsidRPr="00311A14">
        <w:rPr>
          <w:b/>
          <w:i/>
        </w:rPr>
        <w:t>is presented in Figure 5.7</w:t>
      </w:r>
      <w:r w:rsidR="00775A60" w:rsidRPr="00FE24C0">
        <w:rPr>
          <w:i/>
        </w:rPr>
        <w:t xml:space="preserve">, </w:t>
      </w:r>
      <w:r w:rsidRPr="004D6A58">
        <w:t xml:space="preserve">and shows </w:t>
      </w:r>
      <w:r w:rsidR="00775A60" w:rsidRPr="004D6A58">
        <w:t>that there is a wide range in the sum insured across Insured Units in the same Departments varying from a low of less than AR$ 0.25 million, to a high of between AR$ 4.8 million and a maximum of AR$ 11.1 million per Cuartel.</w:t>
      </w:r>
    </w:p>
    <w:p w:rsidR="0010647C" w:rsidRPr="00FE24C0" w:rsidRDefault="0010647C" w:rsidP="00311A14">
      <w:pPr>
        <w:pStyle w:val="HeadFiguresTablesBoxes"/>
        <w:spacing w:after="0"/>
      </w:pPr>
      <w:proofErr w:type="gramStart"/>
      <w:r w:rsidRPr="00FE24C0">
        <w:t>Figure 5.</w:t>
      </w:r>
      <w:r w:rsidR="005B7615" w:rsidRPr="00FE24C0">
        <w:t>7</w:t>
      </w:r>
      <w:r w:rsidRPr="00FE24C0">
        <w:t>.</w:t>
      </w:r>
      <w:proofErr w:type="gramEnd"/>
      <w:r w:rsidRPr="00FE24C0">
        <w:t xml:space="preserve">  Distribution of NDVI Sum Insured by Cuartel</w:t>
      </w:r>
      <w:r w:rsidR="0074245F" w:rsidRPr="00FE24C0">
        <w:t xml:space="preserve"> (AR$ Million)</w:t>
      </w:r>
    </w:p>
    <w:p w:rsidR="0010647C" w:rsidRPr="00FE24C0" w:rsidRDefault="00130500" w:rsidP="00311A14">
      <w:pPr>
        <w:spacing w:after="0"/>
      </w:pPr>
      <w:r w:rsidRPr="00FE24C0">
        <w:rPr>
          <w:noProof/>
          <w:lang w:val="es-AR" w:eastAsia="es-AR"/>
        </w:rPr>
        <w:drawing>
          <wp:inline distT="0" distB="0" distL="0" distR="0">
            <wp:extent cx="3010753" cy="3255923"/>
            <wp:effectExtent l="19050" t="0" r="0" b="0"/>
            <wp:docPr id="30" name="Picture 3" descr="C:\Users\Charles\AppData\Local\Microsoft\Windows\Temporary Internet Files\Content.IE5\M1J16ATY\SOBA_SA Total x Cu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AppData\Local\Microsoft\Windows\Temporary Internet Files\Content.IE5\M1J16ATY\SOBA_SA Total x Cuartel.jpg"/>
                    <pic:cNvPicPr>
                      <a:picLocks noChangeAspect="1" noChangeArrowheads="1"/>
                    </pic:cNvPicPr>
                  </pic:nvPicPr>
                  <pic:blipFill>
                    <a:blip r:embed="rId36" cstate="print"/>
                    <a:srcRect b="4292"/>
                    <a:stretch>
                      <a:fillRect/>
                    </a:stretch>
                  </pic:blipFill>
                  <pic:spPr bwMode="auto">
                    <a:xfrm>
                      <a:off x="0" y="0"/>
                      <a:ext cx="3016315" cy="3261938"/>
                    </a:xfrm>
                    <a:prstGeom prst="rect">
                      <a:avLst/>
                    </a:prstGeom>
                    <a:noFill/>
                    <a:ln w="9525">
                      <a:noFill/>
                      <a:miter lim="800000"/>
                      <a:headEnd/>
                      <a:tailEnd/>
                    </a:ln>
                  </pic:spPr>
                </pic:pic>
              </a:graphicData>
            </a:graphic>
          </wp:inline>
        </w:drawing>
      </w:r>
    </w:p>
    <w:p w:rsidR="00E86206" w:rsidRPr="00FE24C0" w:rsidRDefault="00E86206" w:rsidP="000E35EC">
      <w:pPr>
        <w:pStyle w:val="Source"/>
        <w:rPr>
          <w:sz w:val="22"/>
          <w:szCs w:val="22"/>
          <w:lang w:eastAsia="es-NI"/>
        </w:rPr>
      </w:pPr>
      <w:r w:rsidRPr="00FE24C0">
        <w:rPr>
          <w:lang w:eastAsia="es-NI"/>
        </w:rPr>
        <w:t>Source: Authors analysis, Livestock NDVI Rating Data-base</w:t>
      </w:r>
    </w:p>
    <w:p w:rsidR="000C6233" w:rsidRPr="00FE24C0" w:rsidRDefault="00D23FDC">
      <w:pPr>
        <w:pStyle w:val="Ttulo2"/>
        <w:ind w:left="576" w:hanging="576"/>
      </w:pPr>
      <w:r w:rsidRPr="00FE24C0">
        <w:lastRenderedPageBreak/>
        <w:t xml:space="preserve">Definition of the Insured Event and Basis of Insurance Payouts </w:t>
      </w:r>
    </w:p>
    <w:p w:rsidR="000C6233" w:rsidRPr="00311A14" w:rsidRDefault="00C03CC0" w:rsidP="00311A14">
      <w:pPr>
        <w:pStyle w:val="WBReport"/>
      </w:pPr>
      <w:r w:rsidRPr="00311A14">
        <w:rPr>
          <w:b/>
          <w:i/>
        </w:rPr>
        <w:t>The definition of the insured event is critical for the de</w:t>
      </w:r>
      <w:r w:rsidR="00F3211F" w:rsidRPr="00311A14">
        <w:rPr>
          <w:b/>
          <w:i/>
        </w:rPr>
        <w:t>sign</w:t>
      </w:r>
      <w:r w:rsidRPr="00311A14">
        <w:rPr>
          <w:b/>
          <w:i/>
        </w:rPr>
        <w:t xml:space="preserve"> of </w:t>
      </w:r>
      <w:r w:rsidR="00635BFE" w:rsidRPr="00311A14">
        <w:rPr>
          <w:b/>
          <w:i/>
        </w:rPr>
        <w:t xml:space="preserve">the </w:t>
      </w:r>
      <w:r w:rsidRPr="00311A14">
        <w:rPr>
          <w:b/>
          <w:i/>
        </w:rPr>
        <w:t xml:space="preserve">NDVI index based </w:t>
      </w:r>
      <w:r w:rsidR="00143CD0" w:rsidRPr="00311A14">
        <w:rPr>
          <w:b/>
          <w:i/>
        </w:rPr>
        <w:t>insurance policy</w:t>
      </w:r>
      <w:r w:rsidR="0088712D" w:rsidRPr="00311A14">
        <w:rPr>
          <w:b/>
          <w:i/>
        </w:rPr>
        <w:t xml:space="preserve"> </w:t>
      </w:r>
      <w:r w:rsidR="00635BFE" w:rsidRPr="00311A14">
        <w:rPr>
          <w:b/>
          <w:i/>
        </w:rPr>
        <w:t xml:space="preserve">for SWBA </w:t>
      </w:r>
      <w:r w:rsidR="0088712D" w:rsidRPr="00311A14">
        <w:rPr>
          <w:b/>
          <w:i/>
        </w:rPr>
        <w:t xml:space="preserve">and to ensure that the triggered payouts represent as accurately as possible the pasture </w:t>
      </w:r>
      <w:r w:rsidR="00292F55" w:rsidRPr="00311A14">
        <w:rPr>
          <w:b/>
          <w:i/>
        </w:rPr>
        <w:t xml:space="preserve">quantity and </w:t>
      </w:r>
      <w:r w:rsidR="0088712D" w:rsidRPr="00311A14">
        <w:rPr>
          <w:b/>
          <w:i/>
        </w:rPr>
        <w:t>quality losses experienced on the ground</w:t>
      </w:r>
      <w:r w:rsidRPr="00311A14">
        <w:rPr>
          <w:b/>
          <w:i/>
        </w:rPr>
        <w:t>.</w:t>
      </w:r>
      <w:r w:rsidRPr="00FE24C0">
        <w:rPr>
          <w:i/>
        </w:rPr>
        <w:t xml:space="preserve"> </w:t>
      </w:r>
      <w:r w:rsidR="001A24FC" w:rsidRPr="004D6A58">
        <w:t>The insured event for a NDVI index based pasture insurance product can be defined by two parameters, the duration of the event and the intensity of the event.</w:t>
      </w:r>
    </w:p>
    <w:p w:rsidR="000C6233" w:rsidRPr="00FE24C0" w:rsidRDefault="0088712D" w:rsidP="004D6A58">
      <w:pPr>
        <w:pStyle w:val="WBReport"/>
        <w:rPr>
          <w:i/>
        </w:rPr>
      </w:pPr>
      <w:r w:rsidRPr="00311A14">
        <w:rPr>
          <w:b/>
          <w:i/>
        </w:rPr>
        <w:t xml:space="preserve">In the design phase of </w:t>
      </w:r>
      <w:proofErr w:type="gramStart"/>
      <w:r w:rsidRPr="00311A14">
        <w:rPr>
          <w:b/>
          <w:i/>
        </w:rPr>
        <w:t>this</w:t>
      </w:r>
      <w:proofErr w:type="gramEnd"/>
      <w:r w:rsidRPr="00311A14">
        <w:rPr>
          <w:b/>
          <w:i/>
        </w:rPr>
        <w:t xml:space="preserve"> NDVI product </w:t>
      </w:r>
      <w:r w:rsidR="00C03CC0" w:rsidRPr="00311A14">
        <w:rPr>
          <w:b/>
          <w:i/>
        </w:rPr>
        <w:t xml:space="preserve">two different </w:t>
      </w:r>
      <w:r w:rsidR="000B178D" w:rsidRPr="00311A14">
        <w:rPr>
          <w:b/>
          <w:i/>
        </w:rPr>
        <w:t xml:space="preserve">options </w:t>
      </w:r>
      <w:r w:rsidR="00C03CC0" w:rsidRPr="00311A14">
        <w:rPr>
          <w:b/>
          <w:i/>
        </w:rPr>
        <w:t xml:space="preserve">for the definition of duration of </w:t>
      </w:r>
      <w:r w:rsidR="000B178D" w:rsidRPr="00311A14">
        <w:rPr>
          <w:b/>
          <w:i/>
        </w:rPr>
        <w:t xml:space="preserve">the insured </w:t>
      </w:r>
      <w:r w:rsidR="00C03CC0" w:rsidRPr="00311A14">
        <w:rPr>
          <w:b/>
          <w:i/>
        </w:rPr>
        <w:t>event affecting forage production</w:t>
      </w:r>
      <w:r w:rsidRPr="00311A14">
        <w:rPr>
          <w:b/>
          <w:i/>
        </w:rPr>
        <w:t xml:space="preserve"> were considered</w:t>
      </w:r>
      <w:r w:rsidR="001A24FC" w:rsidRPr="00311A14">
        <w:rPr>
          <w:b/>
          <w:i/>
        </w:rPr>
        <w:t>.</w:t>
      </w:r>
      <w:r w:rsidR="001A24FC" w:rsidRPr="00FE24C0">
        <w:rPr>
          <w:i/>
        </w:rPr>
        <w:t xml:space="preserve"> </w:t>
      </w:r>
      <w:r w:rsidR="001A24FC" w:rsidRPr="004D6A58">
        <w:t xml:space="preserve">The first option for the duration of the insured event was defined as “two or more consecutive months within the cover period during which the actual NDVI values fall short of the NDVI values defined as triggers leading to an insurance payout”. The second option was defined as “the occurrence of one or more months within the period of coverage during which the actual NDVI values fall short the NDVI values defined as trigger for coverage”. Under the 2 consecutive month option for defining the insured event, there would be an additional time-lag of at least 30 days for the NDVI values to be accessed and analyzed by the appointed Remote Sensing Operator and for the Insurer(s) to process the claim and to approve a payment to the Insured (Government) and the Beneficiaries (livestock producers in the triggered Cuartels) – or a total of 3 months since the onset of the deterioration of the grazing in the affected insured unit. Livestock producers noted that the three month delay to receive insurance payouts was far too long and that by that time they would have been forced to sell large numbers of their livestock. They indicated their strong preference for </w:t>
      </w:r>
      <w:r w:rsidR="004D06A3">
        <w:t xml:space="preserve">the second </w:t>
      </w:r>
      <w:r w:rsidR="001A24FC" w:rsidRPr="004D6A58">
        <w:t>option whereby a payout would be made in any month where the defined NDVI threshold was triggered.  For this reason the final version of the NDVI product has been designed to make payouts in any month during the up to six month cover period if the defined trigger-levels are exceeded.</w:t>
      </w:r>
    </w:p>
    <w:p w:rsidR="000C6233" w:rsidRPr="00311A14" w:rsidRDefault="00C03CC0" w:rsidP="00311A14">
      <w:pPr>
        <w:pStyle w:val="WBReport"/>
        <w:rPr>
          <w:i/>
        </w:rPr>
      </w:pPr>
      <w:r w:rsidRPr="00311A14">
        <w:rPr>
          <w:b/>
          <w:i/>
        </w:rPr>
        <w:t xml:space="preserve">The </w:t>
      </w:r>
      <w:r w:rsidR="001A24FC" w:rsidRPr="00311A14">
        <w:rPr>
          <w:b/>
          <w:i/>
        </w:rPr>
        <w:t>intensity</w:t>
      </w:r>
      <w:r w:rsidRPr="00311A14">
        <w:rPr>
          <w:b/>
          <w:i/>
        </w:rPr>
        <w:t xml:space="preserve"> of the </w:t>
      </w:r>
      <w:r w:rsidR="00F60D74" w:rsidRPr="00311A14">
        <w:rPr>
          <w:b/>
          <w:i/>
        </w:rPr>
        <w:t>insured event leading to a payout is</w:t>
      </w:r>
      <w:r w:rsidR="00536A45" w:rsidRPr="00311A14">
        <w:rPr>
          <w:b/>
          <w:i/>
        </w:rPr>
        <w:t xml:space="preserve"> </w:t>
      </w:r>
      <w:r w:rsidRPr="00311A14">
        <w:rPr>
          <w:b/>
          <w:i/>
        </w:rPr>
        <w:t xml:space="preserve">defined by the </w:t>
      </w:r>
      <w:r w:rsidR="00536A45" w:rsidRPr="00311A14">
        <w:rPr>
          <w:b/>
          <w:i/>
        </w:rPr>
        <w:t xml:space="preserve">NDVI </w:t>
      </w:r>
      <w:r w:rsidR="004D06A3">
        <w:rPr>
          <w:b/>
          <w:i/>
        </w:rPr>
        <w:t xml:space="preserve">threshold </w:t>
      </w:r>
      <w:r w:rsidRPr="00311A14">
        <w:rPr>
          <w:b/>
          <w:i/>
        </w:rPr>
        <w:t>trigger</w:t>
      </w:r>
      <w:r w:rsidR="00590CE9" w:rsidRPr="00311A14">
        <w:rPr>
          <w:b/>
          <w:i/>
        </w:rPr>
        <w:t>s</w:t>
      </w:r>
      <w:r w:rsidRPr="00311A14">
        <w:rPr>
          <w:b/>
          <w:i/>
        </w:rPr>
        <w:t xml:space="preserve"> </w:t>
      </w:r>
      <w:r w:rsidR="00536A45" w:rsidRPr="00311A14">
        <w:rPr>
          <w:b/>
          <w:i/>
        </w:rPr>
        <w:t>that are set in each month of the cover period</w:t>
      </w:r>
      <w:r w:rsidR="001A24FC" w:rsidRPr="00311A14">
        <w:rPr>
          <w:b/>
          <w:i/>
        </w:rPr>
        <w:t>.</w:t>
      </w:r>
      <w:r w:rsidR="001A24FC" w:rsidRPr="00FE24C0">
        <w:rPr>
          <w:i/>
        </w:rPr>
        <w:t xml:space="preserve"> </w:t>
      </w:r>
      <w:r w:rsidR="001A24FC" w:rsidRPr="004D6A58">
        <w:t xml:space="preserve">Under this study several options were considered for the definition of the NDVI </w:t>
      </w:r>
      <w:r w:rsidR="004D06A3">
        <w:t xml:space="preserve">threshold </w:t>
      </w:r>
      <w:r w:rsidR="001A24FC" w:rsidRPr="004D6A58">
        <w:t xml:space="preserve">triggers. The </w:t>
      </w:r>
      <w:r w:rsidR="001A24FC" w:rsidRPr="00452CAC">
        <w:rPr>
          <w:b/>
        </w:rPr>
        <w:t>first option</w:t>
      </w:r>
      <w:r w:rsidR="001A24FC" w:rsidRPr="004D6A58">
        <w:t xml:space="preserve"> involved calculating a single </w:t>
      </w:r>
      <w:r w:rsidR="004D06A3">
        <w:t xml:space="preserve">threshold </w:t>
      </w:r>
      <w:r w:rsidR="001A24FC" w:rsidRPr="004D6A58">
        <w:t xml:space="preserve">trigger for the whole cover period based on the average monthly actual NDVI values for the worst years in the 28-year NDVI series including 1988, 1995, 2003, 2005, 2007, 2008 and 2009. Over this trigger a deduction equal to 20 percent of the standard deviation was applied. The </w:t>
      </w:r>
      <w:r w:rsidR="001A24FC" w:rsidRPr="00452CAC">
        <w:rPr>
          <w:b/>
        </w:rPr>
        <w:t>second option</w:t>
      </w:r>
      <w:r w:rsidR="001A24FC" w:rsidRPr="004D6A58">
        <w:t xml:space="preserve"> for the definition of the NDVI </w:t>
      </w:r>
      <w:r w:rsidR="004D06A3">
        <w:t xml:space="preserve">threshold </w:t>
      </w:r>
      <w:r w:rsidR="001A24FC" w:rsidRPr="004D6A58">
        <w:t xml:space="preserve">trigger was based on monthly triggers calculated for each month within the period of coverage. The monthly </w:t>
      </w:r>
      <w:r w:rsidR="004D06A3">
        <w:t xml:space="preserve">threshold </w:t>
      </w:r>
      <w:r w:rsidR="001A24FC" w:rsidRPr="004D6A58">
        <w:t xml:space="preserve">triggers were calculated according to the average NDVI values for each month within for the worst years observed in the 28-year NDVI series. The monthly NDVI </w:t>
      </w:r>
      <w:r w:rsidR="004D06A3">
        <w:t xml:space="preserve">threshold </w:t>
      </w:r>
      <w:r w:rsidR="001A24FC" w:rsidRPr="004D6A58">
        <w:t xml:space="preserve">triggers were adjusted by applying a deduction equal to 20 percent of the standard deviation. The </w:t>
      </w:r>
      <w:r w:rsidR="001A24FC" w:rsidRPr="00452CAC">
        <w:rPr>
          <w:b/>
        </w:rPr>
        <w:t>third option</w:t>
      </w:r>
      <w:r w:rsidR="001A24FC" w:rsidRPr="004D6A58">
        <w:t>, which has been adopted for the NDVI insurance product was to calculate the opening or “threshold trigger” according to the probability distribution of the NDVI values in each month over the 28 years and the frequency with which payouts would be triggered according to a pre-determined return period. For example if the Trigger Index return period is set at 1 in 10 years, the NDVI index value is selected so that it will trigger a payout 1 in 10 years for the selected month: this would be equivalent to roughly three payouts over the 28 years of historical data. Conversely if the return period is set at 7 years, this will result in a higher frequency of 4 triggered payouts over the 28 year period. The Threshold Trigger NDVI value can be calculated using two methods: (i</w:t>
      </w:r>
      <w:proofErr w:type="gramStart"/>
      <w:r w:rsidR="001A24FC" w:rsidRPr="004D6A58">
        <w:t>) according</w:t>
      </w:r>
      <w:proofErr w:type="gramEnd"/>
      <w:r w:rsidR="001A24FC" w:rsidRPr="004D6A58">
        <w:t xml:space="preserve"> to the monthly historical distribution over the 28 years of available monthly NDVI data, or (ii) by a parametric probability method where the NDVI data is calibrated to a normal distribution. The Excel-based NDVI Rating Tool is based on the third option and is programmed to permit the user to select different payout return periods according to the user’s requirements and also to select the historical distribution or normal distribution method </w:t>
      </w:r>
      <w:r w:rsidR="001A24FC" w:rsidRPr="004D6A58">
        <w:lastRenderedPageBreak/>
        <w:t xml:space="preserve">to select the NDVI </w:t>
      </w:r>
      <w:r w:rsidR="004D06A3">
        <w:t>threshold</w:t>
      </w:r>
      <w:r w:rsidR="001A24FC" w:rsidRPr="004D6A58">
        <w:t xml:space="preserve"> trigger leading to a payout (see Annex 2 for full details of the Index Trigger procedures).</w:t>
      </w:r>
    </w:p>
    <w:p w:rsidR="000C6233" w:rsidRPr="004D6A58" w:rsidRDefault="00C03CC0" w:rsidP="004D6A58">
      <w:pPr>
        <w:pStyle w:val="WBReport"/>
      </w:pPr>
      <w:r w:rsidRPr="00311A14">
        <w:rPr>
          <w:b/>
          <w:i/>
        </w:rPr>
        <w:t>The definition of the payouts of the index based insurance products must be aligned with the objectives of the coverage and with the insured interest</w:t>
      </w:r>
      <w:r w:rsidR="001A24FC" w:rsidRPr="00311A14">
        <w:rPr>
          <w:b/>
          <w:i/>
        </w:rPr>
        <w:t>.</w:t>
      </w:r>
      <w:r w:rsidR="001A24FC" w:rsidRPr="00FE24C0">
        <w:rPr>
          <w:i/>
        </w:rPr>
        <w:t xml:space="preserve"> </w:t>
      </w:r>
      <w:r w:rsidR="001A24FC" w:rsidRPr="004D6A58">
        <w:t xml:space="preserve">The payout system must also reflect the duration and the severity of the insured event. Two types of payout system were tested under the NDVI study. The first payout system considered for SWBA was based on a monthly lump sum amount which is paid to the </w:t>
      </w:r>
      <w:r w:rsidR="004D06A3">
        <w:t>I</w:t>
      </w:r>
      <w:r w:rsidR="001A24FC" w:rsidRPr="004D6A58">
        <w:t>nsured if the Threshold trigger is hit, leading to an insurance payout in that month. This lump sum amount is equal to the full sum insured for the month in which a payout is triggered. The second payout system considered for SWBA was based on a linear payout scale which makes graduated payments according to the actual NDVI value for that month up to a minimum NDVI value termed the Exit Trigger when it is assumed that a total loss has occurred and the maximum payout equal to 100% of the sum insured for that month is paid out. The graduated payout scale is commonly referred to as the “Increment” or “tick” in index insurance circles. The Exit trigger level was set at 1 standard deviation below the Threshold Trigger for each Cuartel and each month; however the SWBA NDVI rating tool is very flexible and enables the user to select the desired Exit trigger value in each month. Figure 5.8 presents an example of the payout scale for the SWBA NDVI index.</w:t>
      </w:r>
    </w:p>
    <w:p w:rsidR="000C6233" w:rsidRDefault="00FD000E" w:rsidP="004D6A58">
      <w:pPr>
        <w:pStyle w:val="WBReport"/>
      </w:pPr>
      <w:r w:rsidRPr="00311A14">
        <w:rPr>
          <w:b/>
          <w:i/>
        </w:rPr>
        <w:t xml:space="preserve">For the purposes of the SWBA NDVI pasture Index policy, it is recommended that a </w:t>
      </w:r>
      <w:r w:rsidR="00723A69" w:rsidRPr="00311A14">
        <w:rPr>
          <w:b/>
          <w:i/>
        </w:rPr>
        <w:t>q</w:t>
      </w:r>
      <w:r w:rsidRPr="00311A14">
        <w:rPr>
          <w:b/>
          <w:i/>
        </w:rPr>
        <w:t>ualifying franchise be adopted in order to eliminate very small triggered payouts.</w:t>
      </w:r>
      <w:r w:rsidRPr="00FE24C0">
        <w:rPr>
          <w:i/>
        </w:rPr>
        <w:t xml:space="preserve"> </w:t>
      </w:r>
      <w:r w:rsidR="001A24FC" w:rsidRPr="004D6A58">
        <w:t>The analysis shows that with a NDVI policy which is designed to make payouts on a monthly basis there is a high frequency of very small triggered payouts across the 117 Cuartels in the 12 Departments.  These may amount to a few hundred pesos per Cuartel and it would cost more to settle the payments of a few pesos to each of the several hundred individual insured beneficiaries in each Cuartel than the value of the payments to these producers. For this reason a qualifying franchise has been incorporated into the rating tool which is designed to eliminate these small claims payments. The user may alter the level of the qualifying franchise, which for the purposes of the rating exercise set out in this report has been set at 2% of the annual total sum insured in each Cuartel. This means that if the calculated payout in any month of the coverage is less than 2% of the Cuartel total sum insured (TSI) no payout would be made; if the payout is greater than 2% of TSI, the payment is made in full (see Figure 5.8 for the operation of the qualifying franchise).</w:t>
      </w:r>
    </w:p>
    <w:p w:rsidR="00311A14" w:rsidRPr="00FE24C0" w:rsidRDefault="00311A14" w:rsidP="00311A14">
      <w:pPr>
        <w:pStyle w:val="Subttulo"/>
      </w:pPr>
      <w:bookmarkStart w:id="36" w:name="_Toc345794274"/>
      <w:r w:rsidRPr="00FE24C0">
        <w:t>NDVI-Pasture Index Rating Methodology and Calculated Technical Rates</w:t>
      </w:r>
      <w:bookmarkEnd w:id="36"/>
    </w:p>
    <w:p w:rsidR="00311A14" w:rsidRPr="00FE24C0" w:rsidRDefault="00311A14" w:rsidP="00311A14">
      <w:pPr>
        <w:pStyle w:val="APDroughtPara"/>
        <w:numPr>
          <w:ilvl w:val="0"/>
          <w:numId w:val="0"/>
        </w:numPr>
        <w:tabs>
          <w:tab w:val="left" w:pos="720"/>
        </w:tabs>
        <w:outlineLvl w:val="9"/>
        <w:rPr>
          <w:b/>
          <w:sz w:val="24"/>
          <w:szCs w:val="22"/>
        </w:rPr>
      </w:pPr>
      <w:r w:rsidRPr="00FE24C0">
        <w:rPr>
          <w:b/>
          <w:sz w:val="24"/>
          <w:szCs w:val="22"/>
        </w:rPr>
        <w:t>Rating Methodology and Rating Model</w:t>
      </w:r>
    </w:p>
    <w:p w:rsidR="00311A14" w:rsidRDefault="00311A14" w:rsidP="00311A14">
      <w:pPr>
        <w:pStyle w:val="WBReport"/>
      </w:pPr>
      <w:r w:rsidRPr="00311A14">
        <w:rPr>
          <w:b/>
          <w:i/>
        </w:rPr>
        <w:t>The NDVI Rating Model is programmed to calculate pure loss cost rates, technical rates and indicative commercial premium rates for each Cuartel (Insured Unit).</w:t>
      </w:r>
      <w:r w:rsidRPr="00FE24C0">
        <w:rPr>
          <w:i/>
        </w:rPr>
        <w:t xml:space="preserve"> </w:t>
      </w:r>
      <w:r w:rsidRPr="004D6A58">
        <w:t>The pure loss cost rates are calculated on a historical burning cost basis. Once the sum insured for each month of coverage, the recurrence period (which sets the Trigger Index of each cluster for each month of coverage), and the parameter k (which determines the Exit Trigger of each cluster for each month of the cover period) have been set, the model proceeds to calculate the pure loss cost (payout amount divided by sum insured) that would have occurred in each month and in total for the 28 years of NDVI values analyzed in the database. The average loss cost rate for each Cuartel is calculated as the simple average of the 28-year loss costs. The parameters for running the NDVI rating tool are demonstrated in Table 5.7 for Bahia Blanca Department with a payout frequency for any month included in the cover period of 7 years. Further information on the rating methodology is contained in Annex 2.</w:t>
      </w:r>
    </w:p>
    <w:p w:rsidR="00A97C2B" w:rsidRPr="004D6A58" w:rsidRDefault="006D75A9" w:rsidP="00311A14">
      <w:pPr>
        <w:pStyle w:val="WBReport"/>
      </w:pPr>
      <w:r w:rsidRPr="006D75A9">
        <w:rPr>
          <w:b/>
          <w:i/>
        </w:rPr>
        <w:t xml:space="preserve">The Rating Model developed does not include any trend analysis. </w:t>
      </w:r>
      <w:r w:rsidRPr="006D75A9">
        <w:t xml:space="preserve">Even though there is </w:t>
      </w:r>
      <w:r w:rsidRPr="006D75A9">
        <w:lastRenderedPageBreak/>
        <w:t>evidence of an increase in rainfall deficit in the past decade, we believe that any NDVI trending analysis will be highly influenced by the severe events in the last three years of data, namely 2007 to 2009. Theoretically, any deterministic trending analysis should be based in a “model” that explained the trend, and not just in the observation of a few years that present certain pattern</w:t>
      </w:r>
      <w:r w:rsidRPr="006D75A9">
        <w:rPr>
          <w:rStyle w:val="Refdenotaalpie"/>
        </w:rPr>
        <w:footnoteReference w:id="34"/>
      </w:r>
      <w:r w:rsidRPr="006D75A9">
        <w:t xml:space="preserve">. Besides this theoretical argument, in practice the insurers will want to be sure that the premiums charged to the NDVI-insurance will be enough to cover the claims that could arise in the next years. If the insurers do not feel comfortable with the rates calculated with the proposed Rating Model (which does not include trend), they could </w:t>
      </w:r>
      <w:r w:rsidR="00F47470">
        <w:t>apply</w:t>
      </w:r>
      <w:r w:rsidRPr="006D75A9">
        <w:t xml:space="preserve"> a higher Risk Loading to the Risk Premiums in order to be more conservative, and </w:t>
      </w:r>
      <w:r w:rsidR="00F47470">
        <w:t xml:space="preserve">therefore charge </w:t>
      </w:r>
      <w:r w:rsidRPr="006D75A9">
        <w:t xml:space="preserve">higher Technical Premiums (see Annex 2). Furthermore, it is important to highlight again that the final decisions regarding the </w:t>
      </w:r>
      <w:r w:rsidR="00F47470">
        <w:t xml:space="preserve">premium </w:t>
      </w:r>
      <w:r w:rsidRPr="006D75A9">
        <w:t xml:space="preserve">rates to be charged </w:t>
      </w:r>
      <w:r w:rsidR="00F47470">
        <w:t>on</w:t>
      </w:r>
      <w:r w:rsidRPr="006D75A9">
        <w:t xml:space="preserve"> this NDVI-insurance program will be made by the insurers and their local and international reinsurers.</w:t>
      </w:r>
    </w:p>
    <w:p w:rsidR="004A4B28" w:rsidRPr="00FE24C0" w:rsidRDefault="004A4B28" w:rsidP="00D96CE8">
      <w:pPr>
        <w:pStyle w:val="HeadFiguresTablesBoxes"/>
      </w:pPr>
      <w:proofErr w:type="gramStart"/>
      <w:r w:rsidRPr="00FE24C0">
        <w:t xml:space="preserve">Figure </w:t>
      </w:r>
      <w:r w:rsidR="00C87312" w:rsidRPr="00FE24C0">
        <w:t>5.8.</w:t>
      </w:r>
      <w:proofErr w:type="gramEnd"/>
      <w:r w:rsidR="00C87312" w:rsidRPr="00FE24C0">
        <w:t xml:space="preserve"> </w:t>
      </w:r>
      <w:r w:rsidRPr="00FE24C0">
        <w:t xml:space="preserve"> Example of </w:t>
      </w:r>
      <w:r w:rsidR="00027F56" w:rsidRPr="00FE24C0">
        <w:t>the</w:t>
      </w:r>
      <w:r w:rsidR="00143CD0" w:rsidRPr="00FE24C0">
        <w:t xml:space="preserve"> </w:t>
      </w:r>
      <w:r w:rsidRPr="00FE24C0">
        <w:t>NDVI</w:t>
      </w:r>
      <w:r w:rsidR="00027F56" w:rsidRPr="00FE24C0">
        <w:t xml:space="preserve"> </w:t>
      </w:r>
      <w:r w:rsidRPr="00FE24C0">
        <w:t xml:space="preserve">Pasture </w:t>
      </w:r>
      <w:r w:rsidR="00027F56" w:rsidRPr="00FE24C0">
        <w:t>I</w:t>
      </w:r>
      <w:r w:rsidRPr="00FE24C0">
        <w:t xml:space="preserve">ndex </w:t>
      </w:r>
      <w:r w:rsidR="00027F56" w:rsidRPr="00FE24C0">
        <w:t xml:space="preserve">Payout structure for </w:t>
      </w:r>
      <w:r w:rsidR="00044268" w:rsidRPr="00FE24C0">
        <w:t xml:space="preserve">Cuartel </w:t>
      </w:r>
      <w:r w:rsidR="00DD2526" w:rsidRPr="00FE24C0">
        <w:t>22</w:t>
      </w:r>
      <w:r w:rsidR="00044268" w:rsidRPr="00FE24C0">
        <w:t xml:space="preserve">, Bahia Blanca Department </w:t>
      </w:r>
      <w:r w:rsidR="00445226" w:rsidRPr="00FE24C0">
        <w:t>f</w:t>
      </w:r>
      <w:r w:rsidRPr="00FE24C0">
        <w:t xml:space="preserve">or </w:t>
      </w:r>
      <w:r w:rsidR="009D1A8C" w:rsidRPr="00FE24C0">
        <w:t>the month of</w:t>
      </w:r>
      <w:r w:rsidR="003E72A0" w:rsidRPr="00FE24C0">
        <w:t xml:space="preserve"> October</w:t>
      </w:r>
    </w:p>
    <w:p w:rsidR="00044268" w:rsidRPr="00FE24C0" w:rsidRDefault="000C6233" w:rsidP="00044268">
      <w:pPr>
        <w:spacing w:after="120"/>
        <w:outlineLvl w:val="1"/>
      </w:pPr>
      <w:r w:rsidRPr="00FE24C0">
        <w:rPr>
          <w:noProof/>
          <w:lang w:val="es-AR" w:eastAsia="es-AR"/>
        </w:rPr>
        <w:drawing>
          <wp:inline distT="0" distB="0" distL="0" distR="0">
            <wp:extent cx="5490210" cy="2851970"/>
            <wp:effectExtent l="19050" t="0" r="0" b="0"/>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490210" cy="2851970"/>
                    </a:xfrm>
                    <a:prstGeom prst="rect">
                      <a:avLst/>
                    </a:prstGeom>
                    <a:noFill/>
                    <a:ln w="9525">
                      <a:noFill/>
                      <a:miter lim="800000"/>
                      <a:headEnd/>
                      <a:tailEnd/>
                    </a:ln>
                  </pic:spPr>
                </pic:pic>
              </a:graphicData>
            </a:graphic>
          </wp:inline>
        </w:drawing>
      </w:r>
    </w:p>
    <w:p w:rsidR="00044268" w:rsidRPr="00FE24C0" w:rsidRDefault="00044268" w:rsidP="000E35EC">
      <w:pPr>
        <w:pStyle w:val="Source"/>
        <w:jc w:val="left"/>
        <w:rPr>
          <w:lang w:eastAsia="en-US"/>
        </w:rPr>
      </w:pPr>
      <w:r w:rsidRPr="00FE24C0">
        <w:rPr>
          <w:lang w:eastAsia="en-US"/>
        </w:rPr>
        <w:t>Source: Authors’ analysis, NDVI Rating Tool</w:t>
      </w:r>
      <w:r w:rsidR="000E35EC" w:rsidRPr="00FE24C0">
        <w:rPr>
          <w:lang w:eastAsia="en-US"/>
        </w:rPr>
        <w:br/>
      </w:r>
      <w:r w:rsidRPr="00FE24C0">
        <w:rPr>
          <w:lang w:eastAsia="en-US"/>
        </w:rPr>
        <w:t xml:space="preserve">Notes: </w:t>
      </w:r>
      <w:r w:rsidR="000517A7" w:rsidRPr="00FE24C0">
        <w:rPr>
          <w:lang w:eastAsia="en-US"/>
        </w:rPr>
        <w:t xml:space="preserve">Cuartel Total Sum Insured = AR$ </w:t>
      </w:r>
      <w:r w:rsidR="00DD2526" w:rsidRPr="00FE24C0">
        <w:rPr>
          <w:lang w:eastAsia="en-US"/>
        </w:rPr>
        <w:t>1,032</w:t>
      </w:r>
      <w:r w:rsidR="000517A7" w:rsidRPr="00FE24C0">
        <w:rPr>
          <w:lang w:eastAsia="en-US"/>
        </w:rPr>
        <w:t>,</w:t>
      </w:r>
      <w:r w:rsidR="00DD2526" w:rsidRPr="00FE24C0">
        <w:rPr>
          <w:lang w:eastAsia="en-US"/>
        </w:rPr>
        <w:t>499</w:t>
      </w:r>
      <w:r w:rsidR="000517A7" w:rsidRPr="00FE24C0">
        <w:rPr>
          <w:lang w:eastAsia="en-US"/>
        </w:rPr>
        <w:t xml:space="preserve">, </w:t>
      </w:r>
      <w:r w:rsidRPr="00FE24C0">
        <w:rPr>
          <w:lang w:eastAsia="en-US"/>
        </w:rPr>
        <w:t xml:space="preserve">Method = Normal, Franchise </w:t>
      </w:r>
      <w:r w:rsidR="000517A7" w:rsidRPr="00FE24C0">
        <w:rPr>
          <w:lang w:eastAsia="en-US"/>
        </w:rPr>
        <w:t xml:space="preserve">= </w:t>
      </w:r>
      <w:r w:rsidRPr="00FE24C0">
        <w:rPr>
          <w:lang w:eastAsia="en-US"/>
        </w:rPr>
        <w:t xml:space="preserve">2% of </w:t>
      </w:r>
      <w:r w:rsidR="00C87312" w:rsidRPr="00FE24C0">
        <w:rPr>
          <w:lang w:eastAsia="en-US"/>
        </w:rPr>
        <w:t xml:space="preserve">Cuartel Total </w:t>
      </w:r>
      <w:r w:rsidRPr="00FE24C0">
        <w:rPr>
          <w:lang w:eastAsia="en-US"/>
        </w:rPr>
        <w:t>Sum Insured, Exit Trigger Deviation =1</w:t>
      </w:r>
    </w:p>
    <w:p w:rsidR="009900A8" w:rsidRDefault="009900A8" w:rsidP="00D96CE8">
      <w:pPr>
        <w:pStyle w:val="HeadFiguresTablesBoxes"/>
      </w:pPr>
    </w:p>
    <w:p w:rsidR="009900A8" w:rsidRDefault="009900A8" w:rsidP="00D96CE8">
      <w:pPr>
        <w:pStyle w:val="HeadFiguresTablesBoxes"/>
      </w:pPr>
    </w:p>
    <w:p w:rsidR="009900A8" w:rsidRDefault="009900A8" w:rsidP="00D96CE8">
      <w:pPr>
        <w:pStyle w:val="HeadFiguresTablesBoxes"/>
      </w:pPr>
    </w:p>
    <w:p w:rsidR="009900A8" w:rsidRDefault="009900A8" w:rsidP="00D96CE8">
      <w:pPr>
        <w:pStyle w:val="HeadFiguresTablesBoxes"/>
      </w:pPr>
    </w:p>
    <w:p w:rsidR="0066689B" w:rsidRPr="00FE24C0" w:rsidRDefault="0066689B" w:rsidP="00D96CE8">
      <w:pPr>
        <w:pStyle w:val="HeadFiguresTablesBoxes"/>
      </w:pPr>
      <w:proofErr w:type="gramStart"/>
      <w:r w:rsidRPr="00FE24C0">
        <w:lastRenderedPageBreak/>
        <w:t>Table 5.7.</w:t>
      </w:r>
      <w:proofErr w:type="gramEnd"/>
      <w:r w:rsidRPr="00FE24C0">
        <w:t xml:space="preserve">  </w:t>
      </w:r>
      <w:r w:rsidR="003E72A0" w:rsidRPr="00FE24C0">
        <w:t xml:space="preserve">NDVI Insurance </w:t>
      </w:r>
      <w:r w:rsidRPr="00FE24C0">
        <w:t>Rating Model Parameters for Bahia Blanca Department</w:t>
      </w:r>
    </w:p>
    <w:tbl>
      <w:tblPr>
        <w:tblW w:w="7267" w:type="dxa"/>
        <w:tblInd w:w="103" w:type="dxa"/>
        <w:tblLook w:val="04A0"/>
      </w:tblPr>
      <w:tblGrid>
        <w:gridCol w:w="5534"/>
        <w:gridCol w:w="1733"/>
      </w:tblGrid>
      <w:tr w:rsidR="0066689B" w:rsidRPr="00FE24C0" w:rsidTr="00DD2526">
        <w:trPr>
          <w:trHeight w:val="300"/>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NDVI Rating Model Parameters</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66689B" w:rsidRPr="00FE24C0" w:rsidRDefault="000E0632" w:rsidP="000E0632">
            <w:pPr>
              <w:spacing w:after="0"/>
              <w:jc w:val="center"/>
              <w:rPr>
                <w:rFonts w:eastAsia="Times New Roman"/>
                <w:color w:val="000000"/>
                <w:sz w:val="20"/>
                <w:szCs w:val="20"/>
                <w:lang w:eastAsia="en-GB"/>
              </w:rPr>
            </w:pPr>
            <w:r w:rsidRPr="00FE24C0">
              <w:rPr>
                <w:rFonts w:eastAsia="Times New Roman"/>
                <w:color w:val="000000"/>
                <w:sz w:val="20"/>
                <w:szCs w:val="20"/>
                <w:lang w:eastAsia="en-GB"/>
              </w:rPr>
              <w:t>Value</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Month by Month Payout Frequency (No. Years) </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7</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Method (Historical </w:t>
            </w:r>
            <w:r w:rsidR="00937F0B" w:rsidRPr="00FE24C0">
              <w:rPr>
                <w:rFonts w:eastAsia="Times New Roman"/>
                <w:color w:val="000000"/>
                <w:sz w:val="20"/>
                <w:szCs w:val="20"/>
                <w:lang w:eastAsia="en-GB"/>
              </w:rPr>
              <w:t>vs.</w:t>
            </w:r>
            <w:r w:rsidRPr="00FE24C0">
              <w:rPr>
                <w:rFonts w:eastAsia="Times New Roman"/>
                <w:color w:val="000000"/>
                <w:sz w:val="20"/>
                <w:szCs w:val="20"/>
                <w:lang w:eastAsia="en-GB"/>
              </w:rPr>
              <w:t xml:space="preserve"> Normal Distribution)</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Normal</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Deviation from Mean for Threshold Trigger Index</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DD2526">
            <w:pPr>
              <w:spacing w:after="0"/>
              <w:jc w:val="center"/>
              <w:rPr>
                <w:rFonts w:eastAsia="Times New Roman"/>
                <w:color w:val="000000"/>
                <w:sz w:val="20"/>
                <w:szCs w:val="20"/>
                <w:lang w:eastAsia="en-GB"/>
              </w:rPr>
            </w:pPr>
            <w:r w:rsidRPr="00FE24C0">
              <w:rPr>
                <w:rFonts w:eastAsia="Times New Roman"/>
                <w:color w:val="000000"/>
                <w:sz w:val="20"/>
                <w:szCs w:val="20"/>
                <w:lang w:eastAsia="en-GB"/>
              </w:rPr>
              <w:t>-1.</w:t>
            </w:r>
            <w:r w:rsidR="00DD2526" w:rsidRPr="00FE24C0">
              <w:rPr>
                <w:rFonts w:eastAsia="Times New Roman"/>
                <w:color w:val="000000"/>
                <w:sz w:val="20"/>
                <w:szCs w:val="20"/>
                <w:lang w:eastAsia="en-GB"/>
              </w:rPr>
              <w:t>068</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Deviation from Threshold Trigger for Exit Trigger</w:t>
            </w:r>
            <w:r w:rsidR="00600761" w:rsidRPr="00FE24C0">
              <w:rPr>
                <w:rFonts w:eastAsia="Times New Roman"/>
                <w:color w:val="000000"/>
                <w:sz w:val="20"/>
                <w:szCs w:val="20"/>
                <w:lang w:eastAsia="en-GB"/>
              </w:rPr>
              <w:t xml:space="preserve"> (K)</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1</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Complete Missing data with average:</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Ave</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Franchise level (% of TSI):</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DD2526"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2%</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Complete 1994 NDVI Data with</w:t>
            </w:r>
            <w:r w:rsidR="001967C3" w:rsidRPr="00FE24C0">
              <w:rPr>
                <w:rFonts w:eastAsia="Times New Roman"/>
                <w:color w:val="000000"/>
                <w:sz w:val="20"/>
                <w:szCs w:val="20"/>
                <w:lang w:eastAsia="en-GB"/>
              </w:rPr>
              <w:t>*</w:t>
            </w:r>
            <w:r w:rsidRPr="00FE24C0">
              <w:rPr>
                <w:rFonts w:eastAsia="Times New Roman"/>
                <w:color w:val="000000"/>
                <w:sz w:val="20"/>
                <w:szCs w:val="20"/>
                <w:lang w:eastAsia="en-GB"/>
              </w:rPr>
              <w:t>:</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2009</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Adjustment factor for 1994:</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1</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571B14">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Security Loading (% </w:t>
            </w:r>
            <w:r w:rsidR="00571B14">
              <w:rPr>
                <w:rFonts w:eastAsia="Times New Roman"/>
                <w:color w:val="000000"/>
                <w:sz w:val="20"/>
                <w:szCs w:val="20"/>
                <w:lang w:eastAsia="en-GB"/>
              </w:rPr>
              <w:t xml:space="preserve">of Loss </w:t>
            </w:r>
            <w:r w:rsidRPr="00FE24C0">
              <w:rPr>
                <w:rFonts w:eastAsia="Times New Roman"/>
                <w:color w:val="000000"/>
                <w:sz w:val="20"/>
                <w:szCs w:val="20"/>
                <w:lang w:eastAsia="en-GB"/>
              </w:rPr>
              <w:t>standard deviation):</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3</w:t>
            </w:r>
            <w:r w:rsidR="00DD2526" w:rsidRPr="00FE24C0">
              <w:rPr>
                <w:rFonts w:eastAsia="Times New Roman"/>
                <w:color w:val="000000"/>
                <w:sz w:val="20"/>
                <w:szCs w:val="20"/>
                <w:lang w:eastAsia="en-GB"/>
              </w:rPr>
              <w:t>0%</w:t>
            </w:r>
          </w:p>
        </w:tc>
      </w:tr>
      <w:tr w:rsidR="0066689B" w:rsidRPr="00FE24C0" w:rsidTr="00DD2526">
        <w:trPr>
          <w:trHeight w:val="300"/>
        </w:trPr>
        <w:tc>
          <w:tcPr>
            <w:tcW w:w="5534" w:type="dxa"/>
            <w:tcBorders>
              <w:top w:val="nil"/>
              <w:left w:val="single" w:sz="4" w:space="0" w:color="auto"/>
              <w:bottom w:val="single" w:sz="4" w:space="0" w:color="auto"/>
              <w:right w:val="single" w:sz="4" w:space="0" w:color="auto"/>
            </w:tcBorders>
            <w:shd w:val="clear" w:color="auto" w:fill="auto"/>
            <w:noWrap/>
            <w:vAlign w:val="bottom"/>
            <w:hideMark/>
          </w:tcPr>
          <w:p w:rsidR="0066689B" w:rsidRPr="00FE24C0" w:rsidRDefault="0066689B" w:rsidP="0066689B">
            <w:pPr>
              <w:spacing w:after="0"/>
              <w:jc w:val="left"/>
              <w:rPr>
                <w:rFonts w:eastAsia="Times New Roman"/>
                <w:color w:val="000000"/>
                <w:sz w:val="20"/>
                <w:szCs w:val="20"/>
                <w:lang w:eastAsia="en-GB"/>
              </w:rPr>
            </w:pPr>
            <w:r w:rsidRPr="00FE24C0">
              <w:rPr>
                <w:rFonts w:eastAsia="Times New Roman"/>
                <w:color w:val="000000"/>
                <w:sz w:val="20"/>
                <w:szCs w:val="20"/>
                <w:lang w:eastAsia="en-GB"/>
              </w:rPr>
              <w:t xml:space="preserve">Return </w:t>
            </w:r>
            <w:r w:rsidR="00937F0B" w:rsidRPr="00FE24C0">
              <w:rPr>
                <w:rFonts w:eastAsia="Times New Roman"/>
                <w:color w:val="000000"/>
                <w:sz w:val="20"/>
                <w:szCs w:val="20"/>
                <w:lang w:eastAsia="en-GB"/>
              </w:rPr>
              <w:t>Period</w:t>
            </w:r>
            <w:r w:rsidRPr="00FE24C0">
              <w:rPr>
                <w:rFonts w:eastAsia="Times New Roman"/>
                <w:color w:val="000000"/>
                <w:sz w:val="20"/>
                <w:szCs w:val="20"/>
                <w:lang w:eastAsia="en-GB"/>
              </w:rPr>
              <w:t xml:space="preserve"> for Calculation of PML:</w:t>
            </w:r>
          </w:p>
        </w:tc>
        <w:tc>
          <w:tcPr>
            <w:tcW w:w="1733" w:type="dxa"/>
            <w:tcBorders>
              <w:top w:val="nil"/>
              <w:left w:val="nil"/>
              <w:bottom w:val="single" w:sz="4" w:space="0" w:color="auto"/>
              <w:right w:val="single" w:sz="4" w:space="0" w:color="auto"/>
            </w:tcBorders>
            <w:shd w:val="clear" w:color="auto" w:fill="auto"/>
            <w:noWrap/>
            <w:vAlign w:val="bottom"/>
            <w:hideMark/>
          </w:tcPr>
          <w:p w:rsidR="0066689B" w:rsidRPr="00FE24C0" w:rsidRDefault="0066689B" w:rsidP="0066689B">
            <w:pPr>
              <w:spacing w:after="0"/>
              <w:jc w:val="center"/>
              <w:rPr>
                <w:rFonts w:eastAsia="Times New Roman"/>
                <w:color w:val="000000"/>
                <w:sz w:val="20"/>
                <w:szCs w:val="20"/>
                <w:lang w:eastAsia="en-GB"/>
              </w:rPr>
            </w:pPr>
            <w:r w:rsidRPr="00FE24C0">
              <w:rPr>
                <w:rFonts w:eastAsia="Times New Roman"/>
                <w:color w:val="000000"/>
                <w:sz w:val="20"/>
                <w:szCs w:val="20"/>
                <w:lang w:eastAsia="en-GB"/>
              </w:rPr>
              <w:t>100</w:t>
            </w:r>
          </w:p>
        </w:tc>
      </w:tr>
    </w:tbl>
    <w:p w:rsidR="000C6233" w:rsidRPr="00FE24C0" w:rsidRDefault="000E0632">
      <w:pPr>
        <w:pStyle w:val="Source"/>
        <w:spacing w:after="0"/>
        <w:rPr>
          <w:lang w:eastAsia="es-NI"/>
        </w:rPr>
      </w:pPr>
      <w:r w:rsidRPr="00FE24C0">
        <w:rPr>
          <w:lang w:eastAsia="es-NI"/>
        </w:rPr>
        <w:t>Source: Authors, NDVI R</w:t>
      </w:r>
      <w:r w:rsidR="00600761" w:rsidRPr="00FE24C0">
        <w:rPr>
          <w:lang w:eastAsia="es-NI"/>
        </w:rPr>
        <w:t>ating Model</w:t>
      </w:r>
      <w:r w:rsidR="001967C3" w:rsidRPr="00FE24C0">
        <w:rPr>
          <w:lang w:eastAsia="es-NI"/>
        </w:rPr>
        <w:t>.</w:t>
      </w:r>
    </w:p>
    <w:p w:rsidR="000C6233" w:rsidRPr="00F47470" w:rsidRDefault="00755B98">
      <w:pPr>
        <w:pStyle w:val="WB"/>
        <w:numPr>
          <w:ilvl w:val="0"/>
          <w:numId w:val="0"/>
        </w:numPr>
        <w:rPr>
          <w:sz w:val="20"/>
          <w:lang w:eastAsia="es-NI"/>
        </w:rPr>
      </w:pPr>
      <w:r w:rsidRPr="00F47470">
        <w:rPr>
          <w:sz w:val="20"/>
          <w:lang w:eastAsia="es-NI"/>
        </w:rPr>
        <w:t>Note: * Since the 1994 NDVI data was missing, it was decided to fill them in with the 2009 actual NDVI values.  This assumption, therefore, generates the same loss costs for 1994 as in 2009.</w:t>
      </w:r>
    </w:p>
    <w:p w:rsidR="00CF50C6" w:rsidRPr="00311A14" w:rsidRDefault="00CF50C6" w:rsidP="00311A14">
      <w:pPr>
        <w:rPr>
          <w:b/>
          <w:sz w:val="24"/>
          <w:lang w:eastAsia="es-NI"/>
        </w:rPr>
      </w:pPr>
      <w:r w:rsidRPr="00311A14">
        <w:rPr>
          <w:b/>
          <w:sz w:val="24"/>
          <w:lang w:eastAsia="es-NI"/>
        </w:rPr>
        <w:t>Cuartel-level Rates</w:t>
      </w:r>
    </w:p>
    <w:p w:rsidR="000C6233" w:rsidRPr="00311A14" w:rsidRDefault="00DA6A0E" w:rsidP="00311A14">
      <w:pPr>
        <w:pStyle w:val="WBReport"/>
      </w:pPr>
      <w:r w:rsidRPr="00311A14">
        <w:rPr>
          <w:b/>
          <w:i/>
        </w:rPr>
        <w:t>A worked example of the calculation of the pure loss cost rate is presented for Cuartel 22, Bahia Blanca</w:t>
      </w:r>
      <w:r w:rsidR="001A24FC" w:rsidRPr="00311A14">
        <w:rPr>
          <w:b/>
        </w:rPr>
        <w:t>.</w:t>
      </w:r>
      <w:r w:rsidRPr="004D6A58">
        <w:t xml:space="preserve">  </w:t>
      </w:r>
      <w:r w:rsidR="001A24FC" w:rsidRPr="004D6A58">
        <w:t>Key assumptions used in this analysis include: the payout frequency is set at 1 in 7 years; the Exit Trigger factor k is set at 1; the franchise is set at 2% of the total sum insured for the Cuartel and 1994 is set at the same NDVI values as the year 2009 (parameters as per Table 5.7). Under these assumptions, Table 5.8 shows the calculated Threshold and Exit Triggers for each month of the 6 month cover period for the Cuartel. Table 5.9 then shows that under the same assumptions, the NDVI policy would have triggered payouts in 23 months out of the total of 168 months equivalent to a frequency of payouts of 14%. The policy would have incurred payouts in 12 of the 28 years (43% of years) or nearly 1 in every 2.33 years, with a maximum payout in 1995 of 39.13% of the Total Sum Insured for the Cuartel and, over all years, the average annual pure loss cost rate is 7.2%. There is a tendency for higher losses in the spring (September to November) than in the autumn (March to May).</w:t>
      </w:r>
    </w:p>
    <w:p w:rsidR="000C6233" w:rsidRPr="00311A14" w:rsidRDefault="001A24FC" w:rsidP="00311A14">
      <w:pPr>
        <w:pStyle w:val="WBReport"/>
      </w:pPr>
      <w:r w:rsidRPr="00311A14">
        <w:rPr>
          <w:b/>
          <w:i/>
        </w:rPr>
        <w:t xml:space="preserve">The analysis for Cuartel 22 shows that the NDVI model conforms closely to the actual pattern of major drought-induced losses in natural pasture in SWBA, </w:t>
      </w:r>
      <w:proofErr w:type="gramStart"/>
      <w:r w:rsidRPr="00311A14">
        <w:rPr>
          <w:b/>
          <w:i/>
        </w:rPr>
        <w:t>with</w:t>
      </w:r>
      <w:proofErr w:type="gramEnd"/>
      <w:r w:rsidRPr="00311A14">
        <w:rPr>
          <w:b/>
          <w:i/>
        </w:rPr>
        <w:t xml:space="preserve"> the worst loss (payout) years falling in 1994 1995, 2008 and 2009.</w:t>
      </w:r>
      <w:r w:rsidRPr="00FE24C0">
        <w:rPr>
          <w:i/>
        </w:rPr>
        <w:t xml:space="preserve"> </w:t>
      </w:r>
      <w:r w:rsidRPr="004D6A58">
        <w:t>This is a very important factor which was closely examined in the design of the NDVI cover and in the setting of the Threshold and Exit Triggers: the years with major modeled NDVI payouts were cross-checked with the livestock insurance industry to ensure that these years matched the major drought years experienced in SWBA. It is important to note that the NDVI model also shows the 1994 monthly losses as being equal to the severe losses registered by the model in 2009. This is due to the fact that the missing NDVI data for 1994 have been filled in with the actual 2009 NDVI extreme loss year data in order to run the analysis with a complete data set.</w:t>
      </w:r>
    </w:p>
    <w:p w:rsidR="000C6233" w:rsidRPr="004D6A58" w:rsidRDefault="00930637" w:rsidP="004D6A58">
      <w:pPr>
        <w:pStyle w:val="WBReport"/>
        <w:rPr>
          <w:b/>
          <w:bCs/>
        </w:rPr>
      </w:pPr>
      <w:r w:rsidRPr="00311A14">
        <w:rPr>
          <w:b/>
          <w:i/>
        </w:rPr>
        <w:t xml:space="preserve">The NDVI rating model is </w:t>
      </w:r>
      <w:r w:rsidR="00B10633" w:rsidRPr="00311A14">
        <w:rPr>
          <w:b/>
          <w:i/>
        </w:rPr>
        <w:t xml:space="preserve">also </w:t>
      </w:r>
      <w:r w:rsidRPr="00311A14">
        <w:rPr>
          <w:b/>
          <w:i/>
        </w:rPr>
        <w:t>programmed to provide Technical Premium rates.</w:t>
      </w:r>
      <w:r w:rsidRPr="00FE24C0">
        <w:rPr>
          <w:i/>
        </w:rPr>
        <w:t xml:space="preserve"> </w:t>
      </w:r>
      <w:r w:rsidR="001A24FC" w:rsidRPr="004D6A58">
        <w:t xml:space="preserve">The model was set with a security load of 30% of the standard deviation of the average pure loss cost rate in each Cuartel, but this security load can be increased or decreased by the user. The security loading is designed to cover two important factors, (i) uncertainties in the 28-year data set and (ii) extreme pasture-loss (drought) years which have not yet been experienced and to establish a catastrophe load for these events in the technical rate for each Cuartel. For Cuartel 22 the security </w:t>
      </w:r>
      <w:r w:rsidR="001A24FC" w:rsidRPr="004D6A58">
        <w:lastRenderedPageBreak/>
        <w:t>load adds 3.5% to the pure loss cost premium rate and the technical premium rate increases to 10.7% (Table 5.9).</w:t>
      </w:r>
    </w:p>
    <w:p w:rsidR="0059281F" w:rsidRPr="00FE24C0" w:rsidRDefault="003136B8" w:rsidP="00D96CE8">
      <w:pPr>
        <w:pStyle w:val="HeadFiguresTablesBoxes"/>
      </w:pPr>
      <w:proofErr w:type="gramStart"/>
      <w:r w:rsidRPr="00FE24C0">
        <w:t>Table 5.</w:t>
      </w:r>
      <w:r w:rsidR="00280578" w:rsidRPr="00FE24C0">
        <w:t>8</w:t>
      </w:r>
      <w:r w:rsidRPr="00FE24C0">
        <w:t>.</w:t>
      </w:r>
      <w:proofErr w:type="gramEnd"/>
      <w:r w:rsidRPr="00FE24C0">
        <w:t xml:space="preserve">  Calculated Monthly NDVI Average, Threshold and Exit Triggers for Cuartel 22, Bahia Blanca for 7-year payout frequency/month</w:t>
      </w:r>
    </w:p>
    <w:tbl>
      <w:tblPr>
        <w:tblW w:w="8759" w:type="dxa"/>
        <w:tblInd w:w="103" w:type="dxa"/>
        <w:tblLook w:val="04A0"/>
      </w:tblPr>
      <w:tblGrid>
        <w:gridCol w:w="2132"/>
        <w:gridCol w:w="807"/>
        <w:gridCol w:w="1164"/>
        <w:gridCol w:w="1164"/>
        <w:gridCol w:w="1164"/>
        <w:gridCol w:w="1164"/>
        <w:gridCol w:w="1164"/>
      </w:tblGrid>
      <w:tr w:rsidR="0059281F" w:rsidRPr="009900A8" w:rsidTr="009900A8">
        <w:trPr>
          <w:trHeight w:hRule="exact" w:val="227"/>
        </w:trPr>
        <w:tc>
          <w:tcPr>
            <w:tcW w:w="2132" w:type="dxa"/>
            <w:tcBorders>
              <w:top w:val="single" w:sz="4" w:space="0" w:color="auto"/>
              <w:left w:val="single" w:sz="4" w:space="0" w:color="auto"/>
              <w:bottom w:val="nil"/>
              <w:right w:val="nil"/>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Department</w:t>
            </w:r>
          </w:p>
        </w:tc>
        <w:tc>
          <w:tcPr>
            <w:tcW w:w="1971" w:type="dxa"/>
            <w:gridSpan w:val="2"/>
            <w:tcBorders>
              <w:top w:val="single" w:sz="4" w:space="0" w:color="auto"/>
              <w:left w:val="nil"/>
              <w:bottom w:val="nil"/>
              <w:right w:val="single" w:sz="4" w:space="0" w:color="000000"/>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Bahia Blanca</w:t>
            </w: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r>
      <w:tr w:rsidR="0059281F" w:rsidRPr="009900A8" w:rsidTr="009900A8">
        <w:trPr>
          <w:trHeight w:hRule="exact" w:val="227"/>
        </w:trPr>
        <w:tc>
          <w:tcPr>
            <w:tcW w:w="2132" w:type="dxa"/>
            <w:tcBorders>
              <w:top w:val="nil"/>
              <w:left w:val="single" w:sz="4" w:space="0" w:color="auto"/>
              <w:bottom w:val="nil"/>
              <w:right w:val="nil"/>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Insured Cartel</w:t>
            </w:r>
          </w:p>
        </w:tc>
        <w:tc>
          <w:tcPr>
            <w:tcW w:w="807"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C 22</w:t>
            </w:r>
          </w:p>
        </w:tc>
        <w:tc>
          <w:tcPr>
            <w:tcW w:w="1164" w:type="dxa"/>
            <w:tcBorders>
              <w:top w:val="nil"/>
              <w:left w:val="nil"/>
              <w:bottom w:val="nil"/>
              <w:right w:val="single" w:sz="4" w:space="0" w:color="auto"/>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 </w:t>
            </w: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r>
      <w:tr w:rsidR="0059281F" w:rsidRPr="009900A8" w:rsidTr="009900A8">
        <w:trPr>
          <w:trHeight w:hRule="exact" w:val="227"/>
        </w:trPr>
        <w:tc>
          <w:tcPr>
            <w:tcW w:w="2132" w:type="dxa"/>
            <w:tcBorders>
              <w:top w:val="nil"/>
              <w:left w:val="single" w:sz="4" w:space="0" w:color="auto"/>
              <w:bottom w:val="single" w:sz="4" w:space="0" w:color="auto"/>
              <w:right w:val="nil"/>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Cluster</w:t>
            </w:r>
          </w:p>
        </w:tc>
        <w:tc>
          <w:tcPr>
            <w:tcW w:w="807" w:type="dxa"/>
            <w:tcBorders>
              <w:top w:val="nil"/>
              <w:left w:val="nil"/>
              <w:bottom w:val="single" w:sz="4" w:space="0" w:color="auto"/>
              <w:right w:val="nil"/>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C22_1</w:t>
            </w:r>
          </w:p>
        </w:tc>
        <w:tc>
          <w:tcPr>
            <w:tcW w:w="1164" w:type="dxa"/>
            <w:tcBorders>
              <w:top w:val="nil"/>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 </w:t>
            </w: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c>
          <w:tcPr>
            <w:tcW w:w="1164" w:type="dxa"/>
            <w:tcBorders>
              <w:top w:val="nil"/>
              <w:left w:val="nil"/>
              <w:bottom w:val="nil"/>
              <w:right w:val="nil"/>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p>
        </w:tc>
      </w:tr>
      <w:tr w:rsidR="0059281F" w:rsidRPr="009900A8" w:rsidTr="009900A8">
        <w:trPr>
          <w:trHeight w:hRule="exact" w:val="227"/>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Insured Month</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March</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April</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May</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 xml:space="preserve">September </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October</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59281F" w:rsidRPr="009900A8" w:rsidRDefault="0059281F" w:rsidP="0059281F">
            <w:pPr>
              <w:spacing w:after="0"/>
              <w:jc w:val="left"/>
              <w:rPr>
                <w:rFonts w:eastAsia="Times New Roman"/>
                <w:b/>
                <w:bCs/>
                <w:color w:val="000000"/>
                <w:sz w:val="17"/>
                <w:szCs w:val="17"/>
                <w:lang w:eastAsia="en-GB"/>
              </w:rPr>
            </w:pPr>
            <w:r w:rsidRPr="009900A8">
              <w:rPr>
                <w:rFonts w:eastAsia="Times New Roman"/>
                <w:b/>
                <w:bCs/>
                <w:color w:val="000000"/>
                <w:sz w:val="17"/>
                <w:szCs w:val="17"/>
                <w:lang w:eastAsia="en-GB"/>
              </w:rPr>
              <w:t>November</w:t>
            </w:r>
          </w:p>
        </w:tc>
      </w:tr>
      <w:tr w:rsidR="00930187" w:rsidRPr="009900A8" w:rsidTr="009900A8">
        <w:trPr>
          <w:trHeight w:hRule="exact" w:val="227"/>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30187" w:rsidRPr="009900A8" w:rsidRDefault="00930187"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Average Monthly NDVI</w:t>
            </w:r>
          </w:p>
        </w:tc>
        <w:tc>
          <w:tcPr>
            <w:tcW w:w="807"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0.4332</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0.4513</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0.4454</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0.4639</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0.5481</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0.5089</w:t>
            </w:r>
          </w:p>
        </w:tc>
      </w:tr>
      <w:tr w:rsidR="00930187" w:rsidRPr="009900A8" w:rsidTr="009900A8">
        <w:trPr>
          <w:trHeight w:hRule="exact" w:val="227"/>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30187" w:rsidRPr="009900A8" w:rsidRDefault="00930187"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Standard Deviation NDVI</w:t>
            </w:r>
          </w:p>
        </w:tc>
        <w:tc>
          <w:tcPr>
            <w:tcW w:w="807"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0.0801</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0.0747</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0.0620</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0.0731</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0.0846</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0.0997</w:t>
            </w:r>
          </w:p>
        </w:tc>
      </w:tr>
      <w:tr w:rsidR="00930187" w:rsidRPr="009900A8" w:rsidTr="009900A8">
        <w:trPr>
          <w:trHeight w:hRule="exact" w:val="227"/>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30187" w:rsidRPr="009900A8" w:rsidRDefault="00930187"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Threshold Trigger NDVI</w:t>
            </w:r>
          </w:p>
        </w:tc>
        <w:tc>
          <w:tcPr>
            <w:tcW w:w="807"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0.3477</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0.3716</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0.3791</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0.3859</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0.4577</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color w:val="000000"/>
                <w:sz w:val="17"/>
                <w:szCs w:val="17"/>
                <w:lang w:eastAsia="en-GB"/>
              </w:rPr>
            </w:pPr>
            <w:r w:rsidRPr="009900A8">
              <w:rPr>
                <w:b/>
                <w:bCs/>
                <w:sz w:val="17"/>
                <w:szCs w:val="17"/>
              </w:rPr>
              <w:t>0.4025</w:t>
            </w:r>
          </w:p>
        </w:tc>
      </w:tr>
      <w:tr w:rsidR="00930187" w:rsidRPr="009900A8" w:rsidTr="009900A8">
        <w:trPr>
          <w:trHeight w:hRule="exact" w:val="227"/>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30187" w:rsidRPr="009900A8" w:rsidRDefault="00930187"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Exit Trigger NDVI</w:t>
            </w:r>
          </w:p>
        </w:tc>
        <w:tc>
          <w:tcPr>
            <w:tcW w:w="807"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sz w:val="17"/>
                <w:szCs w:val="17"/>
                <w:lang w:eastAsia="en-GB"/>
              </w:rPr>
            </w:pPr>
            <w:r w:rsidRPr="009900A8">
              <w:rPr>
                <w:b/>
                <w:bCs/>
                <w:sz w:val="17"/>
                <w:szCs w:val="17"/>
              </w:rPr>
              <w:t>0.2676</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sz w:val="17"/>
                <w:szCs w:val="17"/>
                <w:lang w:eastAsia="en-GB"/>
              </w:rPr>
            </w:pPr>
            <w:r w:rsidRPr="009900A8">
              <w:rPr>
                <w:b/>
                <w:bCs/>
                <w:sz w:val="17"/>
                <w:szCs w:val="17"/>
              </w:rPr>
              <w:t>0.2969</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sz w:val="17"/>
                <w:szCs w:val="17"/>
                <w:lang w:eastAsia="en-GB"/>
              </w:rPr>
            </w:pPr>
            <w:r w:rsidRPr="009900A8">
              <w:rPr>
                <w:b/>
                <w:bCs/>
                <w:sz w:val="17"/>
                <w:szCs w:val="17"/>
              </w:rPr>
              <w:t>0.3171</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sz w:val="17"/>
                <w:szCs w:val="17"/>
                <w:lang w:eastAsia="en-GB"/>
              </w:rPr>
            </w:pPr>
            <w:r w:rsidRPr="009900A8">
              <w:rPr>
                <w:b/>
                <w:bCs/>
                <w:sz w:val="17"/>
                <w:szCs w:val="17"/>
              </w:rPr>
              <w:t>0.3128</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sz w:val="17"/>
                <w:szCs w:val="17"/>
                <w:lang w:eastAsia="en-GB"/>
              </w:rPr>
            </w:pPr>
            <w:r w:rsidRPr="009900A8">
              <w:rPr>
                <w:b/>
                <w:bCs/>
                <w:sz w:val="17"/>
                <w:szCs w:val="17"/>
              </w:rPr>
              <w:t>0.3731</w:t>
            </w:r>
          </w:p>
        </w:tc>
        <w:tc>
          <w:tcPr>
            <w:tcW w:w="1164" w:type="dxa"/>
            <w:tcBorders>
              <w:top w:val="nil"/>
              <w:left w:val="nil"/>
              <w:bottom w:val="single" w:sz="4" w:space="0" w:color="auto"/>
              <w:right w:val="single" w:sz="4" w:space="0" w:color="auto"/>
            </w:tcBorders>
            <w:shd w:val="clear" w:color="auto" w:fill="auto"/>
            <w:noWrap/>
            <w:vAlign w:val="center"/>
            <w:hideMark/>
          </w:tcPr>
          <w:p w:rsidR="00930187" w:rsidRPr="009900A8" w:rsidRDefault="00930187" w:rsidP="009900A8">
            <w:pPr>
              <w:spacing w:after="0"/>
              <w:jc w:val="right"/>
              <w:rPr>
                <w:rFonts w:eastAsia="Times New Roman"/>
                <w:sz w:val="17"/>
                <w:szCs w:val="17"/>
                <w:lang w:eastAsia="en-GB"/>
              </w:rPr>
            </w:pPr>
            <w:r w:rsidRPr="009900A8">
              <w:rPr>
                <w:b/>
                <w:bCs/>
                <w:sz w:val="17"/>
                <w:szCs w:val="17"/>
              </w:rPr>
              <w:t>0.3028</w:t>
            </w:r>
          </w:p>
        </w:tc>
      </w:tr>
      <w:tr w:rsidR="0059281F" w:rsidRPr="009900A8" w:rsidTr="009900A8">
        <w:trPr>
          <w:trHeight w:hRule="exact" w:val="454"/>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59281F" w:rsidRPr="009900A8" w:rsidRDefault="0059281F" w:rsidP="0059281F">
            <w:pPr>
              <w:spacing w:after="0"/>
              <w:jc w:val="left"/>
              <w:rPr>
                <w:rFonts w:eastAsia="Times New Roman"/>
                <w:color w:val="000000"/>
                <w:sz w:val="17"/>
                <w:szCs w:val="17"/>
                <w:lang w:eastAsia="en-GB"/>
              </w:rPr>
            </w:pPr>
            <w:r w:rsidRPr="009900A8">
              <w:rPr>
                <w:rFonts w:eastAsia="Times New Roman"/>
                <w:color w:val="000000"/>
                <w:sz w:val="17"/>
                <w:szCs w:val="17"/>
                <w:lang w:eastAsia="en-GB"/>
              </w:rPr>
              <w:t>% of Total Sum Insured allocated to each Month</w:t>
            </w:r>
          </w:p>
        </w:tc>
        <w:tc>
          <w:tcPr>
            <w:tcW w:w="807" w:type="dxa"/>
            <w:tcBorders>
              <w:top w:val="nil"/>
              <w:left w:val="nil"/>
              <w:bottom w:val="single" w:sz="4" w:space="0" w:color="auto"/>
              <w:right w:val="single" w:sz="4" w:space="0" w:color="auto"/>
            </w:tcBorders>
            <w:shd w:val="clear" w:color="auto" w:fill="auto"/>
            <w:noWrap/>
            <w:vAlign w:val="center"/>
            <w:hideMark/>
          </w:tcPr>
          <w:p w:rsidR="0059281F" w:rsidRPr="009900A8" w:rsidRDefault="0059281F" w:rsidP="009900A8">
            <w:pPr>
              <w:spacing w:after="0"/>
              <w:jc w:val="right"/>
              <w:rPr>
                <w:rFonts w:eastAsia="Times New Roman"/>
                <w:b/>
                <w:color w:val="000000"/>
                <w:sz w:val="17"/>
                <w:szCs w:val="17"/>
                <w:lang w:eastAsia="en-GB"/>
              </w:rPr>
            </w:pPr>
            <w:r w:rsidRPr="009900A8">
              <w:rPr>
                <w:rFonts w:eastAsia="Times New Roman"/>
                <w:b/>
                <w:color w:val="000000"/>
                <w:sz w:val="17"/>
                <w:szCs w:val="17"/>
                <w:lang w:eastAsia="en-GB"/>
              </w:rPr>
              <w:t>21.4%</w:t>
            </w:r>
          </w:p>
        </w:tc>
        <w:tc>
          <w:tcPr>
            <w:tcW w:w="1164" w:type="dxa"/>
            <w:tcBorders>
              <w:top w:val="nil"/>
              <w:left w:val="nil"/>
              <w:bottom w:val="single" w:sz="4" w:space="0" w:color="auto"/>
              <w:right w:val="single" w:sz="4" w:space="0" w:color="auto"/>
            </w:tcBorders>
            <w:shd w:val="clear" w:color="auto" w:fill="auto"/>
            <w:noWrap/>
            <w:vAlign w:val="center"/>
            <w:hideMark/>
          </w:tcPr>
          <w:p w:rsidR="0059281F" w:rsidRPr="009900A8" w:rsidRDefault="0059281F" w:rsidP="009900A8">
            <w:pPr>
              <w:spacing w:after="0"/>
              <w:jc w:val="right"/>
              <w:rPr>
                <w:rFonts w:eastAsia="Times New Roman"/>
                <w:b/>
                <w:color w:val="000000"/>
                <w:sz w:val="17"/>
                <w:szCs w:val="17"/>
                <w:lang w:eastAsia="en-GB"/>
              </w:rPr>
            </w:pPr>
            <w:r w:rsidRPr="009900A8">
              <w:rPr>
                <w:rFonts w:eastAsia="Times New Roman"/>
                <w:b/>
                <w:color w:val="000000"/>
                <w:sz w:val="17"/>
                <w:szCs w:val="17"/>
                <w:lang w:eastAsia="en-GB"/>
              </w:rPr>
              <w:t>13.3%</w:t>
            </w:r>
          </w:p>
        </w:tc>
        <w:tc>
          <w:tcPr>
            <w:tcW w:w="1164" w:type="dxa"/>
            <w:tcBorders>
              <w:top w:val="nil"/>
              <w:left w:val="nil"/>
              <w:bottom w:val="single" w:sz="4" w:space="0" w:color="auto"/>
              <w:right w:val="single" w:sz="4" w:space="0" w:color="auto"/>
            </w:tcBorders>
            <w:shd w:val="clear" w:color="auto" w:fill="auto"/>
            <w:noWrap/>
            <w:vAlign w:val="center"/>
            <w:hideMark/>
          </w:tcPr>
          <w:p w:rsidR="0059281F" w:rsidRPr="009900A8" w:rsidRDefault="0059281F" w:rsidP="009900A8">
            <w:pPr>
              <w:spacing w:after="0"/>
              <w:jc w:val="right"/>
              <w:rPr>
                <w:rFonts w:eastAsia="Times New Roman"/>
                <w:b/>
                <w:color w:val="000000"/>
                <w:sz w:val="17"/>
                <w:szCs w:val="17"/>
                <w:lang w:eastAsia="en-GB"/>
              </w:rPr>
            </w:pPr>
            <w:r w:rsidRPr="009900A8">
              <w:rPr>
                <w:rFonts w:eastAsia="Times New Roman"/>
                <w:b/>
                <w:color w:val="000000"/>
                <w:sz w:val="17"/>
                <w:szCs w:val="17"/>
                <w:lang w:eastAsia="en-GB"/>
              </w:rPr>
              <w:t>14.3%</w:t>
            </w:r>
          </w:p>
        </w:tc>
        <w:tc>
          <w:tcPr>
            <w:tcW w:w="1164" w:type="dxa"/>
            <w:tcBorders>
              <w:top w:val="nil"/>
              <w:left w:val="nil"/>
              <w:bottom w:val="single" w:sz="4" w:space="0" w:color="auto"/>
              <w:right w:val="single" w:sz="4" w:space="0" w:color="auto"/>
            </w:tcBorders>
            <w:shd w:val="clear" w:color="auto" w:fill="auto"/>
            <w:noWrap/>
            <w:vAlign w:val="center"/>
            <w:hideMark/>
          </w:tcPr>
          <w:p w:rsidR="0059281F" w:rsidRPr="009900A8" w:rsidRDefault="0059281F" w:rsidP="009900A8">
            <w:pPr>
              <w:spacing w:after="0"/>
              <w:jc w:val="right"/>
              <w:rPr>
                <w:rFonts w:eastAsia="Times New Roman"/>
                <w:b/>
                <w:color w:val="000000"/>
                <w:sz w:val="17"/>
                <w:szCs w:val="17"/>
                <w:lang w:eastAsia="en-GB"/>
              </w:rPr>
            </w:pPr>
            <w:r w:rsidRPr="009900A8">
              <w:rPr>
                <w:rFonts w:eastAsia="Times New Roman"/>
                <w:b/>
                <w:color w:val="000000"/>
                <w:sz w:val="17"/>
                <w:szCs w:val="17"/>
                <w:lang w:eastAsia="en-GB"/>
              </w:rPr>
              <w:t>15.9%</w:t>
            </w:r>
          </w:p>
        </w:tc>
        <w:tc>
          <w:tcPr>
            <w:tcW w:w="1164" w:type="dxa"/>
            <w:tcBorders>
              <w:top w:val="nil"/>
              <w:left w:val="nil"/>
              <w:bottom w:val="single" w:sz="4" w:space="0" w:color="auto"/>
              <w:right w:val="single" w:sz="4" w:space="0" w:color="auto"/>
            </w:tcBorders>
            <w:shd w:val="clear" w:color="auto" w:fill="auto"/>
            <w:noWrap/>
            <w:vAlign w:val="center"/>
            <w:hideMark/>
          </w:tcPr>
          <w:p w:rsidR="0059281F" w:rsidRPr="009900A8" w:rsidRDefault="0059281F" w:rsidP="009900A8">
            <w:pPr>
              <w:spacing w:after="0"/>
              <w:jc w:val="right"/>
              <w:rPr>
                <w:rFonts w:eastAsia="Times New Roman"/>
                <w:b/>
                <w:color w:val="000000"/>
                <w:sz w:val="17"/>
                <w:szCs w:val="17"/>
                <w:lang w:eastAsia="en-GB"/>
              </w:rPr>
            </w:pPr>
            <w:r w:rsidRPr="009900A8">
              <w:rPr>
                <w:rFonts w:eastAsia="Times New Roman"/>
                <w:b/>
                <w:color w:val="000000"/>
                <w:sz w:val="17"/>
                <w:szCs w:val="17"/>
                <w:lang w:eastAsia="en-GB"/>
              </w:rPr>
              <w:t>17.6%</w:t>
            </w:r>
          </w:p>
        </w:tc>
        <w:tc>
          <w:tcPr>
            <w:tcW w:w="1164" w:type="dxa"/>
            <w:tcBorders>
              <w:top w:val="nil"/>
              <w:left w:val="nil"/>
              <w:bottom w:val="single" w:sz="4" w:space="0" w:color="auto"/>
              <w:right w:val="single" w:sz="4" w:space="0" w:color="auto"/>
            </w:tcBorders>
            <w:shd w:val="clear" w:color="auto" w:fill="auto"/>
            <w:noWrap/>
            <w:vAlign w:val="center"/>
            <w:hideMark/>
          </w:tcPr>
          <w:p w:rsidR="0059281F" w:rsidRPr="009900A8" w:rsidRDefault="0059281F" w:rsidP="009900A8">
            <w:pPr>
              <w:spacing w:after="0"/>
              <w:jc w:val="right"/>
              <w:rPr>
                <w:rFonts w:eastAsia="Times New Roman"/>
                <w:b/>
                <w:color w:val="000000"/>
                <w:sz w:val="17"/>
                <w:szCs w:val="17"/>
                <w:lang w:eastAsia="en-GB"/>
              </w:rPr>
            </w:pPr>
            <w:r w:rsidRPr="009900A8">
              <w:rPr>
                <w:rFonts w:eastAsia="Times New Roman"/>
                <w:b/>
                <w:color w:val="000000"/>
                <w:sz w:val="17"/>
                <w:szCs w:val="17"/>
                <w:lang w:eastAsia="en-GB"/>
              </w:rPr>
              <w:t>17.5%</w:t>
            </w:r>
          </w:p>
        </w:tc>
      </w:tr>
    </w:tbl>
    <w:p w:rsidR="00445226" w:rsidRPr="00FE24C0" w:rsidRDefault="00445226" w:rsidP="000E35EC">
      <w:pPr>
        <w:pStyle w:val="Source"/>
        <w:rPr>
          <w:lang w:eastAsia="es-NI"/>
        </w:rPr>
      </w:pPr>
      <w:r w:rsidRPr="00FE24C0">
        <w:rPr>
          <w:lang w:eastAsia="es-NI"/>
        </w:rPr>
        <w:t>Source: Authors’ analysis, NDVI Rating Model</w:t>
      </w:r>
    </w:p>
    <w:p w:rsidR="00930637" w:rsidRPr="00FE24C0" w:rsidRDefault="00635BFE" w:rsidP="00D96CE8">
      <w:pPr>
        <w:pStyle w:val="HeadFiguresTablesBoxes"/>
      </w:pPr>
      <w:proofErr w:type="gramStart"/>
      <w:r w:rsidRPr="00FE24C0">
        <w:t>Table 5.</w:t>
      </w:r>
      <w:r w:rsidR="00CF50C6" w:rsidRPr="00FE24C0">
        <w:t>9</w:t>
      </w:r>
      <w:r w:rsidR="00EC69CE" w:rsidRPr="00FE24C0">
        <w:t>.</w:t>
      </w:r>
      <w:proofErr w:type="gramEnd"/>
      <w:r w:rsidR="00EC69CE" w:rsidRPr="00FE24C0">
        <w:t xml:space="preserve"> Calculated Pure L</w:t>
      </w:r>
      <w:r w:rsidR="00BE2E8D" w:rsidRPr="00FE24C0">
        <w:t>oss Cost Rates for Cuartel 22, Bahia Blanca</w:t>
      </w:r>
      <w:r w:rsidR="00161934" w:rsidRPr="00FE24C0">
        <w:t xml:space="preserve"> with 7-year Payout frequency factor</w:t>
      </w:r>
      <w:r w:rsidR="00EC69CE" w:rsidRPr="00FE24C0">
        <w:t xml:space="preserve"> per month</w:t>
      </w:r>
    </w:p>
    <w:tbl>
      <w:tblPr>
        <w:tblW w:w="7680" w:type="dxa"/>
        <w:tblInd w:w="103" w:type="dxa"/>
        <w:tblLook w:val="04A0"/>
      </w:tblPr>
      <w:tblGrid>
        <w:gridCol w:w="960"/>
        <w:gridCol w:w="960"/>
        <w:gridCol w:w="960"/>
        <w:gridCol w:w="960"/>
        <w:gridCol w:w="960"/>
        <w:gridCol w:w="960"/>
        <w:gridCol w:w="960"/>
        <w:gridCol w:w="960"/>
      </w:tblGrid>
      <w:tr w:rsidR="000B6DF1" w:rsidRPr="009900A8" w:rsidTr="009900A8">
        <w:trPr>
          <w:trHeight w:hRule="exac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Year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Mar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937F0B"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Apr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May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Sep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Oct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Nov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TOTAL</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1982</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1983</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1984</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3.81%</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3.81%</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1985</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1986</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1987</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1988</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7.47%</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7.47%</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1989</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9.31%</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6.52%</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15.84%</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1991</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5.12%</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5.12%</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1992</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1993</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2.44%</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2.44%</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1994</w:t>
            </w:r>
            <w:r w:rsidR="00BA3FE9" w:rsidRPr="009900A8">
              <w:rPr>
                <w:rFonts w:eastAsia="Times New Roman"/>
                <w:color w:val="000000"/>
                <w:sz w:val="16"/>
                <w:szCs w:val="16"/>
                <w:lang w:eastAsia="en-GB"/>
              </w:rPr>
              <w:t>*</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10.52%</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16.00%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30.52%</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1995</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15.94%</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17.56%</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5.63%</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39.13%</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1996</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7.36%</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7.36%</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1997</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1998</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1999</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2001</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2002</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2003</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10.60%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4.65%</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15.25%</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2004</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2005</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2.15%</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12.57%</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14.72%</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2006</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2007</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2008</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9.83%</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3.86%</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15.80%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29.49%</w:t>
            </w:r>
          </w:p>
        </w:tc>
      </w:tr>
      <w:tr w:rsidR="000B6DF1" w:rsidRPr="009900A8" w:rsidTr="009900A8">
        <w:trPr>
          <w:trHeight w:hRule="exac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2009</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0.00%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10.52%</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16.00%</w:t>
            </w:r>
          </w:p>
        </w:tc>
        <w:tc>
          <w:tcPr>
            <w:tcW w:w="960" w:type="dxa"/>
            <w:tcBorders>
              <w:top w:val="nil"/>
              <w:left w:val="nil"/>
              <w:bottom w:val="single" w:sz="4" w:space="0" w:color="auto"/>
              <w:right w:val="single" w:sz="4" w:space="0" w:color="auto"/>
            </w:tcBorders>
            <w:shd w:val="clear" w:color="000000" w:fill="F2F2F2"/>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30.52%</w:t>
            </w:r>
          </w:p>
        </w:tc>
      </w:tr>
      <w:tr w:rsidR="000B6DF1" w:rsidRPr="009900A8" w:rsidTr="009900A8">
        <w:trPr>
          <w:trHeight w:hRule="exact" w:val="227"/>
        </w:trPr>
        <w:tc>
          <w:tcPr>
            <w:tcW w:w="960" w:type="dxa"/>
            <w:tcBorders>
              <w:top w:val="single" w:sz="4" w:space="0" w:color="auto"/>
              <w:left w:val="single" w:sz="4" w:space="0" w:color="auto"/>
              <w:bottom w:val="nil"/>
              <w:right w:val="nil"/>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960" w:type="dxa"/>
            <w:tcBorders>
              <w:top w:val="single" w:sz="4" w:space="0" w:color="auto"/>
              <w:left w:val="nil"/>
              <w:bottom w:val="nil"/>
              <w:right w:val="nil"/>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960" w:type="dxa"/>
            <w:tcBorders>
              <w:top w:val="single" w:sz="4" w:space="0" w:color="auto"/>
              <w:left w:val="nil"/>
              <w:bottom w:val="nil"/>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Average Pure Lost Cost Rate (Burn rate)</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7.20%</w:t>
            </w:r>
          </w:p>
        </w:tc>
      </w:tr>
      <w:tr w:rsidR="000B6DF1" w:rsidRPr="009900A8" w:rsidTr="009900A8">
        <w:trPr>
          <w:trHeight w:hRule="exact" w:val="227"/>
        </w:trPr>
        <w:tc>
          <w:tcPr>
            <w:tcW w:w="960" w:type="dxa"/>
            <w:tcBorders>
              <w:top w:val="nil"/>
              <w:left w:val="single" w:sz="4" w:space="0" w:color="auto"/>
              <w:bottom w:val="nil"/>
              <w:right w:val="nil"/>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960" w:type="dxa"/>
            <w:tcBorders>
              <w:top w:val="nil"/>
              <w:left w:val="nil"/>
              <w:bottom w:val="nil"/>
              <w:right w:val="nil"/>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p>
        </w:tc>
        <w:tc>
          <w:tcPr>
            <w:tcW w:w="960" w:type="dxa"/>
            <w:tcBorders>
              <w:top w:val="nil"/>
              <w:left w:val="nil"/>
              <w:bottom w:val="nil"/>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Standard Deviation (SD) of Pure Loss Costs</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11.66%</w:t>
            </w:r>
          </w:p>
        </w:tc>
      </w:tr>
      <w:tr w:rsidR="000B6DF1" w:rsidRPr="009900A8" w:rsidTr="009900A8">
        <w:trPr>
          <w:trHeight w:hRule="exact" w:val="227"/>
        </w:trPr>
        <w:tc>
          <w:tcPr>
            <w:tcW w:w="960" w:type="dxa"/>
            <w:tcBorders>
              <w:top w:val="nil"/>
              <w:left w:val="single" w:sz="4" w:space="0" w:color="auto"/>
              <w:bottom w:val="single" w:sz="4" w:space="0" w:color="auto"/>
              <w:right w:val="nil"/>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960" w:type="dxa"/>
            <w:tcBorders>
              <w:top w:val="nil"/>
              <w:left w:val="nil"/>
              <w:bottom w:val="single" w:sz="4" w:space="0" w:color="auto"/>
              <w:right w:val="nil"/>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color w:val="000000"/>
                <w:sz w:val="16"/>
                <w:szCs w:val="16"/>
                <w:lang w:eastAsia="en-GB"/>
              </w:rPr>
            </w:pPr>
            <w:r w:rsidRPr="009900A8">
              <w:rPr>
                <w:rFonts w:eastAsia="Times New Roman"/>
                <w:color w:val="000000"/>
                <w:sz w:val="16"/>
                <w:szCs w:val="16"/>
                <w:lang w:eastAsia="en-GB"/>
              </w:rPr>
              <w:t> </w:t>
            </w:r>
          </w:p>
        </w:tc>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Technical Rate with 30% of SD security load</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B6DF1" w:rsidRPr="009900A8" w:rsidRDefault="000B6DF1" w:rsidP="000B6DF1">
            <w:pPr>
              <w:spacing w:after="0"/>
              <w:jc w:val="center"/>
              <w:rPr>
                <w:rFonts w:eastAsia="Times New Roman"/>
                <w:b/>
                <w:bCs/>
                <w:color w:val="000000"/>
                <w:sz w:val="16"/>
                <w:szCs w:val="16"/>
                <w:lang w:eastAsia="en-GB"/>
              </w:rPr>
            </w:pPr>
            <w:r w:rsidRPr="009900A8">
              <w:rPr>
                <w:rFonts w:eastAsia="Times New Roman"/>
                <w:b/>
                <w:bCs/>
                <w:color w:val="000000"/>
                <w:sz w:val="16"/>
                <w:szCs w:val="16"/>
                <w:lang w:eastAsia="en-GB"/>
              </w:rPr>
              <w:t>10.70%</w:t>
            </w:r>
          </w:p>
        </w:tc>
      </w:tr>
    </w:tbl>
    <w:p w:rsidR="000C6233" w:rsidRPr="00FE24C0" w:rsidRDefault="00E5153C">
      <w:pPr>
        <w:pStyle w:val="Source"/>
        <w:spacing w:after="120"/>
        <w:rPr>
          <w:lang w:eastAsia="es-NI"/>
        </w:rPr>
      </w:pPr>
      <w:r w:rsidRPr="00FE24C0">
        <w:rPr>
          <w:lang w:eastAsia="es-NI"/>
        </w:rPr>
        <w:t>Source: Authors’ analysis</w:t>
      </w:r>
      <w:r w:rsidR="00445226" w:rsidRPr="00FE24C0">
        <w:rPr>
          <w:lang w:eastAsia="es-NI"/>
        </w:rPr>
        <w:t xml:space="preserve">, </w:t>
      </w:r>
      <w:r w:rsidRPr="00FE24C0">
        <w:rPr>
          <w:lang w:eastAsia="es-NI"/>
        </w:rPr>
        <w:t>NDVI Rating Model</w:t>
      </w:r>
    </w:p>
    <w:p w:rsidR="000C6233" w:rsidRPr="00FE24C0" w:rsidRDefault="001A24FC">
      <w:pPr>
        <w:pStyle w:val="WB"/>
        <w:numPr>
          <w:ilvl w:val="0"/>
          <w:numId w:val="0"/>
        </w:numPr>
        <w:rPr>
          <w:lang w:eastAsia="es-NI"/>
        </w:rPr>
      </w:pPr>
      <w:r w:rsidRPr="00FE24C0">
        <w:rPr>
          <w:sz w:val="20"/>
          <w:lang w:eastAsia="es-NI"/>
        </w:rPr>
        <w:t xml:space="preserve">Note: * For 1994 the missing NDVI data have been filled in assuming the 2009 </w:t>
      </w:r>
      <w:r w:rsidR="00BA3FE9" w:rsidRPr="00FE24C0">
        <w:rPr>
          <w:sz w:val="20"/>
          <w:lang w:eastAsia="es-NI"/>
        </w:rPr>
        <w:t xml:space="preserve">actual NDVI </w:t>
      </w:r>
      <w:r w:rsidRPr="00FE24C0">
        <w:rPr>
          <w:sz w:val="20"/>
          <w:lang w:eastAsia="es-NI"/>
        </w:rPr>
        <w:t>values</w:t>
      </w:r>
      <w:r w:rsidR="00BA3FE9" w:rsidRPr="00FE24C0">
        <w:rPr>
          <w:sz w:val="20"/>
          <w:lang w:eastAsia="es-NI"/>
        </w:rPr>
        <w:t xml:space="preserve"> which therefore generates the same loss costs for 1994 as in 2009.</w:t>
      </w:r>
    </w:p>
    <w:p w:rsidR="00DD0DEF" w:rsidRDefault="001A24FC" w:rsidP="004D6A58">
      <w:pPr>
        <w:pStyle w:val="WBReport"/>
      </w:pPr>
      <w:r w:rsidRPr="00311A14">
        <w:rPr>
          <w:b/>
          <w:i/>
        </w:rPr>
        <w:lastRenderedPageBreak/>
        <w:t>The pure loss cost rates</w:t>
      </w:r>
      <w:r w:rsidR="00DD0DEF">
        <w:rPr>
          <w:b/>
          <w:i/>
        </w:rPr>
        <w:t xml:space="preserve"> </w:t>
      </w:r>
      <w:r w:rsidRPr="00311A14">
        <w:rPr>
          <w:b/>
          <w:i/>
        </w:rPr>
        <w:t>on the SWBA livestock-pasture NDVI program are very sensitive to the selected return period (frequency of payouts).</w:t>
      </w:r>
      <w:r w:rsidRPr="004D6A58">
        <w:t xml:space="preserve"> This </w:t>
      </w:r>
      <w:r w:rsidR="004A15AB">
        <w:t xml:space="preserve">concept </w:t>
      </w:r>
      <w:r w:rsidRPr="004D6A58">
        <w:t>is illustrated in Table 5.10</w:t>
      </w:r>
      <w:r w:rsidR="004A15AB">
        <w:t xml:space="preserve"> and </w:t>
      </w:r>
      <w:r w:rsidR="001E05EF">
        <w:t>F</w:t>
      </w:r>
      <w:r w:rsidR="004A15AB">
        <w:t>igure 5.</w:t>
      </w:r>
      <w:r w:rsidR="001E05EF">
        <w:t>9</w:t>
      </w:r>
      <w:r w:rsidR="004A15AB">
        <w:t xml:space="preserve"> for Cuarte</w:t>
      </w:r>
      <w:r w:rsidR="00D14AB0">
        <w:t>l</w:t>
      </w:r>
      <w:r w:rsidR="004A15AB">
        <w:t xml:space="preserve"> 22 Bahia Blanca by changing the montly payout frequency (thereby raising the trhreshold trigger NDVI value) from 1 in 7 years to 1 in 10 years, 1 in 12 years and finally 1 in 15 years</w:t>
      </w:r>
      <w:r w:rsidRPr="004D6A58">
        <w:t xml:space="preserve">. With a 1 in 7 year payout frequency, the </w:t>
      </w:r>
      <w:r w:rsidR="004A15AB">
        <w:t xml:space="preserve">NDVI policy would have made payouts in 12 years (43% of all years), with a maximum payout in 1995 of 39.1% of TSI with an average calculated </w:t>
      </w:r>
      <w:r w:rsidRPr="004D6A58">
        <w:t xml:space="preserve">pure </w:t>
      </w:r>
      <w:r w:rsidR="004A15AB">
        <w:t xml:space="preserve">loss cost </w:t>
      </w:r>
      <w:r w:rsidRPr="004D6A58">
        <w:t xml:space="preserve">rate </w:t>
      </w:r>
      <w:r w:rsidR="004A15AB">
        <w:t xml:space="preserve">of </w:t>
      </w:r>
      <w:r w:rsidRPr="004D6A58">
        <w:t xml:space="preserve">7.20% and </w:t>
      </w:r>
      <w:r w:rsidR="004A15AB">
        <w:t xml:space="preserve">an average </w:t>
      </w:r>
      <w:r w:rsidRPr="004D6A58">
        <w:t xml:space="preserve">technical premium rate </w:t>
      </w:r>
      <w:r w:rsidR="004A15AB">
        <w:t>of</w:t>
      </w:r>
      <w:r w:rsidRPr="004D6A58">
        <w:t xml:space="preserve"> 10.7%</w:t>
      </w:r>
      <w:r w:rsidR="004A15AB">
        <w:t>.  B</w:t>
      </w:r>
      <w:r w:rsidRPr="004D6A58">
        <w:t>y reducing the payout frequency to 1 in 1</w:t>
      </w:r>
      <w:r w:rsidR="004A15AB">
        <w:t>0 years the number of years in which a payout would have been made is reduced from 12 to 10 years (the very small payouts in 1984 and again in 1993 would be eliminated); the maximum payout in 1995 would be slightly reduced to 33.5% of TSI and finally the average pure loss cost rate would be reduced to 4.43%. In the maximum modelled case of 1</w:t>
      </w:r>
      <w:r w:rsidRPr="004D6A58">
        <w:t xml:space="preserve">5 years </w:t>
      </w:r>
      <w:r w:rsidR="004A15AB">
        <w:t xml:space="preserve">payout frequency, </w:t>
      </w:r>
      <w:r w:rsidRPr="004D6A58">
        <w:t xml:space="preserve">the </w:t>
      </w:r>
      <w:r w:rsidR="004A15AB">
        <w:t xml:space="preserve">number of years with payouts </w:t>
      </w:r>
      <w:r w:rsidR="00DD0DEF">
        <w:t>would be</w:t>
      </w:r>
      <w:r w:rsidR="004A15AB">
        <w:t xml:space="preserve"> reduced to only 6 years and the </w:t>
      </w:r>
      <w:r w:rsidR="00DD0DEF">
        <w:t xml:space="preserve">calulated </w:t>
      </w:r>
      <w:r w:rsidRPr="004D6A58">
        <w:t xml:space="preserve">pure loss cost rate </w:t>
      </w:r>
      <w:r w:rsidR="00DD0DEF">
        <w:t xml:space="preserve">would be reduced to </w:t>
      </w:r>
      <w:r w:rsidRPr="004D6A58">
        <w:t>to 2.6%</w:t>
      </w:r>
      <w:r w:rsidR="00DD0DEF">
        <w:t xml:space="preserve"> (</w:t>
      </w:r>
      <w:r w:rsidRPr="004D6A58">
        <w:t xml:space="preserve">average technical premium rate </w:t>
      </w:r>
      <w:r w:rsidR="00DD0DEF">
        <w:t xml:space="preserve">of </w:t>
      </w:r>
      <w:r w:rsidRPr="004D6A58">
        <w:t>4.56%</w:t>
      </w:r>
      <w:r w:rsidR="00DD0DEF">
        <w:t>)</w:t>
      </w:r>
      <w:r w:rsidRPr="004D6A58">
        <w:t xml:space="preserve">. </w:t>
      </w:r>
      <w:r w:rsidR="00DD0DEF">
        <w:t>Figure 5.</w:t>
      </w:r>
      <w:r w:rsidR="001E05EF">
        <w:t>9</w:t>
      </w:r>
      <w:r w:rsidR="00DD0DEF">
        <w:t xml:space="preserve"> shows that the NDVI model continues to be robust even if the payout frequency is reduced with payouts continuing to be made in severe pasture drought years such as 1994, 1995, 2008 and 2009. </w:t>
      </w:r>
    </w:p>
    <w:p w:rsidR="000C6233" w:rsidRPr="004D6A58" w:rsidRDefault="00F0345D" w:rsidP="004D6A58">
      <w:pPr>
        <w:pStyle w:val="WBReport"/>
      </w:pPr>
      <w:r w:rsidRPr="00F0345D">
        <w:rPr>
          <w:b/>
          <w:i/>
        </w:rPr>
        <w:t xml:space="preserve">The above analysis for Cuartel 22, Bahia Blance clearly shows the influence of altering the payout frequency </w:t>
      </w:r>
      <w:r w:rsidR="00DD0DEF">
        <w:rPr>
          <w:b/>
          <w:i/>
        </w:rPr>
        <w:t xml:space="preserve">(return period) </w:t>
      </w:r>
      <w:r w:rsidRPr="00F0345D">
        <w:rPr>
          <w:b/>
          <w:i/>
        </w:rPr>
        <w:t>on the calculated pure loss costs and technical premium rates on this NDVI policy</w:t>
      </w:r>
      <w:r w:rsidR="00DD0DEF">
        <w:t xml:space="preserve">. </w:t>
      </w:r>
      <w:r w:rsidR="001A24FC" w:rsidRPr="004D6A58">
        <w:t xml:space="preserve">There is a need to weigh-up </w:t>
      </w:r>
      <w:r w:rsidR="00DD0DEF">
        <w:t xml:space="preserve">very carefully </w:t>
      </w:r>
      <w:r w:rsidR="001A24FC" w:rsidRPr="004D6A58">
        <w:t xml:space="preserve">the </w:t>
      </w:r>
      <w:r w:rsidR="00252FBF">
        <w:t xml:space="preserve">premium </w:t>
      </w:r>
      <w:r w:rsidR="001A24FC" w:rsidRPr="004D6A58">
        <w:t>cost</w:t>
      </w:r>
      <w:r w:rsidR="00252FBF">
        <w:t>s</w:t>
      </w:r>
      <w:r w:rsidR="001A24FC" w:rsidRPr="004D6A58">
        <w:t xml:space="preserve"> of the NDVI insurance program and the level of drought protection afforded by the product: a payout frequency of 7 years for any month in the 6 month cover period opens the policy up to more frequent small claims; however, with a 15-year payout frequency the coverage is moved to a purely catastrophe basis and moderate drought-pasture-loss years are either excluded or only receive a very small payout. </w:t>
      </w:r>
      <w:r w:rsidR="00DD0DEF">
        <w:t xml:space="preserve"> </w:t>
      </w:r>
      <w:r w:rsidR="002D6262">
        <w:t>C</w:t>
      </w:r>
      <w:r w:rsidR="00DD0DEF">
        <w:t xml:space="preserve">aution must, however, be exercised, to avoid situations where in order to achieve the lowest </w:t>
      </w:r>
      <w:r w:rsidR="00252FBF">
        <w:t xml:space="preserve">possible </w:t>
      </w:r>
      <w:r w:rsidR="00DD0DEF">
        <w:t xml:space="preserve">premium </w:t>
      </w:r>
      <w:r w:rsidR="00252FBF">
        <w:t>rate</w:t>
      </w:r>
      <w:r w:rsidR="00DD0DEF">
        <w:t xml:space="preserve"> for the NDVI policy that </w:t>
      </w:r>
      <w:r w:rsidR="00252FBF">
        <w:t xml:space="preserve">the </w:t>
      </w:r>
      <w:r w:rsidR="002D6262">
        <w:t xml:space="preserve">monthly </w:t>
      </w:r>
      <w:r w:rsidR="00252FBF">
        <w:t xml:space="preserve">payout frequency is adjusted to say 1 in 15 or even 1 in 20 years or a </w:t>
      </w:r>
      <w:r w:rsidR="00DD0DEF">
        <w:t>“cat</w:t>
      </w:r>
      <w:r w:rsidR="00252FBF">
        <w:t>astrophe</w:t>
      </w:r>
      <w:r w:rsidR="00DD0DEF">
        <w:t xml:space="preserve"> only” structure, </w:t>
      </w:r>
      <w:r w:rsidR="00252FBF">
        <w:t xml:space="preserve">as this </w:t>
      </w:r>
      <w:r w:rsidR="002D6262">
        <w:t>may</w:t>
      </w:r>
      <w:r w:rsidR="00252FBF">
        <w:t xml:space="preserve"> </w:t>
      </w:r>
      <w:r w:rsidR="002D6262">
        <w:t>result in situations where the NDVI</w:t>
      </w:r>
      <w:r w:rsidR="00252FBF">
        <w:t xml:space="preserve"> policy does not </w:t>
      </w:r>
      <w:r w:rsidR="002D6262">
        <w:t xml:space="preserve">make payouts </w:t>
      </w:r>
      <w:r w:rsidR="00DD0DEF">
        <w:t xml:space="preserve">when </w:t>
      </w:r>
      <w:r w:rsidR="002D6262">
        <w:t xml:space="preserve">in reality </w:t>
      </w:r>
      <w:r w:rsidR="00252FBF">
        <w:t xml:space="preserve">livestock producers in SWBA </w:t>
      </w:r>
      <w:r w:rsidR="002D6262">
        <w:t xml:space="preserve">are </w:t>
      </w:r>
      <w:r w:rsidR="00DD0DEF">
        <w:t xml:space="preserve">incurring </w:t>
      </w:r>
      <w:r w:rsidR="00252FBF">
        <w:t>pasture-drought losses</w:t>
      </w:r>
      <w:r w:rsidR="00DD0DEF">
        <w:t xml:space="preserve">. </w:t>
      </w:r>
      <w:r w:rsidR="00252FBF">
        <w:t>This theme is addressed further in Sections 6 and 7.</w:t>
      </w:r>
    </w:p>
    <w:p w:rsidR="002C0628" w:rsidRPr="00FE24C0" w:rsidRDefault="007863A0" w:rsidP="00D96CE8">
      <w:pPr>
        <w:pStyle w:val="HeadFiguresTablesBoxes"/>
      </w:pPr>
      <w:proofErr w:type="gramStart"/>
      <w:r w:rsidRPr="00FE24C0">
        <w:t>Table 5.</w:t>
      </w:r>
      <w:r w:rsidR="00CF50C6" w:rsidRPr="00FE24C0">
        <w:t>10</w:t>
      </w:r>
      <w:r w:rsidRPr="00FE24C0">
        <w:t>.</w:t>
      </w:r>
      <w:proofErr w:type="gramEnd"/>
      <w:r w:rsidRPr="00FE24C0">
        <w:t xml:space="preserve">  Cuartel 22, Bahia Blanca:  Influence of the selected </w:t>
      </w:r>
      <w:r w:rsidR="004175CE" w:rsidRPr="00FE24C0">
        <w:t xml:space="preserve">monthly </w:t>
      </w:r>
      <w:r w:rsidRPr="00FE24C0">
        <w:t xml:space="preserve">payout frequency on pure loss cost premium rates.   </w:t>
      </w:r>
    </w:p>
    <w:tbl>
      <w:tblPr>
        <w:tblW w:w="8759" w:type="dxa"/>
        <w:tblInd w:w="103" w:type="dxa"/>
        <w:tblLook w:val="04A0"/>
      </w:tblPr>
      <w:tblGrid>
        <w:gridCol w:w="1566"/>
        <w:gridCol w:w="1417"/>
        <w:gridCol w:w="1341"/>
        <w:gridCol w:w="1417"/>
        <w:gridCol w:w="950"/>
        <w:gridCol w:w="950"/>
        <w:gridCol w:w="1118"/>
      </w:tblGrid>
      <w:tr w:rsidR="00E17AE5" w:rsidRPr="00FE24C0" w:rsidTr="00E17AE5">
        <w:trPr>
          <w:trHeight w:val="662"/>
        </w:trPr>
        <w:tc>
          <w:tcPr>
            <w:tcW w:w="15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7AE5" w:rsidRPr="00E17AE5" w:rsidRDefault="00F0345D" w:rsidP="002C0628">
            <w:pPr>
              <w:spacing w:after="0"/>
              <w:jc w:val="center"/>
              <w:rPr>
                <w:rFonts w:eastAsia="Times New Roman"/>
                <w:b/>
                <w:color w:val="000000"/>
                <w:sz w:val="18"/>
                <w:szCs w:val="18"/>
                <w:lang w:eastAsia="en-GB"/>
              </w:rPr>
            </w:pPr>
            <w:r w:rsidRPr="00F0345D">
              <w:rPr>
                <w:rFonts w:eastAsia="Times New Roman"/>
                <w:b/>
                <w:color w:val="000000"/>
                <w:sz w:val="18"/>
                <w:szCs w:val="18"/>
                <w:lang w:eastAsia="en-GB"/>
              </w:rPr>
              <w:t>Payout Frequency (per month)</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17AE5" w:rsidRPr="00E17AE5" w:rsidRDefault="00F0345D" w:rsidP="002C0628">
            <w:pPr>
              <w:spacing w:after="0"/>
              <w:jc w:val="center"/>
              <w:rPr>
                <w:rFonts w:eastAsia="Times New Roman"/>
                <w:b/>
                <w:color w:val="000000"/>
                <w:sz w:val="18"/>
                <w:szCs w:val="18"/>
                <w:lang w:eastAsia="en-GB"/>
              </w:rPr>
            </w:pPr>
            <w:r w:rsidRPr="00F0345D">
              <w:rPr>
                <w:rFonts w:eastAsia="Times New Roman"/>
                <w:b/>
                <w:color w:val="000000"/>
                <w:sz w:val="18"/>
                <w:szCs w:val="18"/>
                <w:lang w:eastAsia="en-GB"/>
              </w:rPr>
              <w:t>Annual Average Pure Lost Cost Rate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17AE5" w:rsidRPr="00E17AE5" w:rsidRDefault="00F0345D" w:rsidP="002C0628">
            <w:pPr>
              <w:spacing w:after="0"/>
              <w:jc w:val="center"/>
              <w:rPr>
                <w:rFonts w:eastAsia="Times New Roman"/>
                <w:b/>
                <w:color w:val="000000"/>
                <w:sz w:val="18"/>
                <w:szCs w:val="18"/>
                <w:lang w:eastAsia="en-GB"/>
              </w:rPr>
            </w:pPr>
            <w:r w:rsidRPr="00F0345D">
              <w:rPr>
                <w:rFonts w:eastAsia="Times New Roman"/>
                <w:b/>
                <w:color w:val="000000"/>
                <w:sz w:val="18"/>
                <w:szCs w:val="18"/>
                <w:lang w:eastAsia="en-GB"/>
              </w:rPr>
              <w:t>Standard Deviation</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17AE5" w:rsidRPr="00E17AE5" w:rsidRDefault="00F0345D" w:rsidP="002C0628">
            <w:pPr>
              <w:spacing w:after="0"/>
              <w:jc w:val="center"/>
              <w:rPr>
                <w:rFonts w:eastAsia="Times New Roman"/>
                <w:b/>
                <w:color w:val="000000"/>
                <w:sz w:val="18"/>
                <w:szCs w:val="18"/>
                <w:lang w:eastAsia="en-GB"/>
              </w:rPr>
            </w:pPr>
            <w:r w:rsidRPr="00F0345D">
              <w:rPr>
                <w:rFonts w:eastAsia="Times New Roman"/>
                <w:b/>
                <w:color w:val="000000"/>
                <w:sz w:val="18"/>
                <w:szCs w:val="18"/>
                <w:lang w:eastAsia="en-GB"/>
              </w:rPr>
              <w:t>Technical Premium Rate (% of Cuartel TSI)</w:t>
            </w:r>
          </w:p>
        </w:tc>
        <w:tc>
          <w:tcPr>
            <w:tcW w:w="992" w:type="dxa"/>
            <w:tcBorders>
              <w:top w:val="single" w:sz="4" w:space="0" w:color="auto"/>
              <w:left w:val="nil"/>
              <w:bottom w:val="single" w:sz="4" w:space="0" w:color="auto"/>
              <w:right w:val="single" w:sz="4" w:space="0" w:color="auto"/>
            </w:tcBorders>
          </w:tcPr>
          <w:p w:rsidR="00E17AE5" w:rsidRPr="00E17AE5" w:rsidRDefault="00E17AE5" w:rsidP="002C0628">
            <w:pPr>
              <w:spacing w:after="0"/>
              <w:jc w:val="center"/>
              <w:rPr>
                <w:rFonts w:eastAsia="Times New Roman"/>
                <w:b/>
                <w:color w:val="000000"/>
                <w:sz w:val="18"/>
                <w:szCs w:val="18"/>
                <w:lang w:eastAsia="en-GB"/>
              </w:rPr>
            </w:pPr>
            <w:r>
              <w:rPr>
                <w:rFonts w:eastAsia="Times New Roman"/>
                <w:b/>
                <w:color w:val="000000"/>
                <w:sz w:val="18"/>
                <w:szCs w:val="18"/>
                <w:lang w:eastAsia="en-GB"/>
              </w:rPr>
              <w:t>Payouts (No. of Years)</w:t>
            </w:r>
          </w:p>
        </w:tc>
        <w:tc>
          <w:tcPr>
            <w:tcW w:w="992" w:type="dxa"/>
            <w:tcBorders>
              <w:top w:val="single" w:sz="4" w:space="0" w:color="auto"/>
              <w:left w:val="nil"/>
              <w:bottom w:val="single" w:sz="4" w:space="0" w:color="auto"/>
              <w:right w:val="single" w:sz="4" w:space="0" w:color="auto"/>
            </w:tcBorders>
          </w:tcPr>
          <w:p w:rsidR="00E17AE5" w:rsidRDefault="00E17AE5" w:rsidP="002C0628">
            <w:pPr>
              <w:spacing w:after="0"/>
              <w:jc w:val="center"/>
              <w:rPr>
                <w:rFonts w:eastAsia="Times New Roman"/>
                <w:b/>
                <w:color w:val="000000"/>
                <w:sz w:val="18"/>
                <w:szCs w:val="18"/>
                <w:lang w:eastAsia="en-GB"/>
              </w:rPr>
            </w:pPr>
            <w:r>
              <w:rPr>
                <w:rFonts w:eastAsia="Times New Roman"/>
                <w:b/>
                <w:color w:val="000000"/>
                <w:sz w:val="18"/>
                <w:szCs w:val="18"/>
                <w:lang w:eastAsia="en-GB"/>
              </w:rPr>
              <w:t>Payouts (% of years)</w:t>
            </w:r>
          </w:p>
        </w:tc>
        <w:tc>
          <w:tcPr>
            <w:tcW w:w="1241" w:type="dxa"/>
            <w:tcBorders>
              <w:top w:val="single" w:sz="4" w:space="0" w:color="auto"/>
              <w:left w:val="nil"/>
              <w:bottom w:val="single" w:sz="4" w:space="0" w:color="auto"/>
              <w:right w:val="single" w:sz="4" w:space="0" w:color="auto"/>
            </w:tcBorders>
          </w:tcPr>
          <w:p w:rsidR="00E17AE5" w:rsidRDefault="00E17AE5" w:rsidP="002C0628">
            <w:pPr>
              <w:spacing w:after="0"/>
              <w:jc w:val="center"/>
              <w:rPr>
                <w:rFonts w:eastAsia="Times New Roman"/>
                <w:b/>
                <w:color w:val="000000"/>
                <w:sz w:val="18"/>
                <w:szCs w:val="18"/>
                <w:lang w:eastAsia="en-GB"/>
              </w:rPr>
            </w:pPr>
            <w:r>
              <w:rPr>
                <w:rFonts w:eastAsia="Times New Roman"/>
                <w:b/>
                <w:color w:val="000000"/>
                <w:sz w:val="18"/>
                <w:szCs w:val="18"/>
                <w:lang w:eastAsia="en-GB"/>
              </w:rPr>
              <w:t>Max Payout Year (% TSI)</w:t>
            </w:r>
          </w:p>
        </w:tc>
      </w:tr>
      <w:tr w:rsidR="00E17AE5" w:rsidRPr="00FE24C0" w:rsidTr="00E17AE5">
        <w:trPr>
          <w:trHeight w:val="30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E17AE5" w:rsidRPr="00E17AE5" w:rsidRDefault="00F0345D" w:rsidP="002C0628">
            <w:pPr>
              <w:spacing w:after="0"/>
              <w:jc w:val="center"/>
              <w:rPr>
                <w:rFonts w:eastAsia="Times New Roman"/>
                <w:color w:val="000000"/>
                <w:sz w:val="18"/>
                <w:szCs w:val="18"/>
                <w:lang w:eastAsia="en-GB"/>
              </w:rPr>
            </w:pPr>
            <w:r w:rsidRPr="00F0345D">
              <w:rPr>
                <w:rFonts w:eastAsia="Times New Roman"/>
                <w:color w:val="000000"/>
                <w:sz w:val="18"/>
                <w:szCs w:val="18"/>
                <w:lang w:eastAsia="en-GB"/>
              </w:rPr>
              <w:t>1 in 7 years</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7.20%</w:t>
            </w:r>
          </w:p>
        </w:tc>
        <w:tc>
          <w:tcPr>
            <w:tcW w:w="1134"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11.7%</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10.7%</w:t>
            </w:r>
          </w:p>
        </w:tc>
        <w:tc>
          <w:tcPr>
            <w:tcW w:w="992" w:type="dxa"/>
            <w:tcBorders>
              <w:top w:val="nil"/>
              <w:left w:val="nil"/>
              <w:bottom w:val="single" w:sz="4" w:space="0" w:color="auto"/>
              <w:right w:val="single" w:sz="4" w:space="0" w:color="auto"/>
            </w:tcBorders>
          </w:tcPr>
          <w:p w:rsidR="00E17AE5" w:rsidRP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12</w:t>
            </w:r>
          </w:p>
        </w:tc>
        <w:tc>
          <w:tcPr>
            <w:tcW w:w="992"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43%</w:t>
            </w:r>
          </w:p>
        </w:tc>
        <w:tc>
          <w:tcPr>
            <w:tcW w:w="1241"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39.1%</w:t>
            </w:r>
          </w:p>
        </w:tc>
      </w:tr>
      <w:tr w:rsidR="00E17AE5" w:rsidRPr="00FE24C0" w:rsidTr="00E17AE5">
        <w:trPr>
          <w:trHeight w:val="30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E17AE5" w:rsidRPr="00E17AE5" w:rsidRDefault="00F0345D" w:rsidP="002C0628">
            <w:pPr>
              <w:spacing w:after="0"/>
              <w:jc w:val="center"/>
              <w:rPr>
                <w:rFonts w:eastAsia="Times New Roman"/>
                <w:color w:val="000000"/>
                <w:sz w:val="18"/>
                <w:szCs w:val="18"/>
                <w:lang w:eastAsia="en-GB"/>
              </w:rPr>
            </w:pPr>
            <w:r w:rsidRPr="00F0345D">
              <w:rPr>
                <w:rFonts w:eastAsia="Times New Roman"/>
                <w:color w:val="000000"/>
                <w:sz w:val="18"/>
                <w:szCs w:val="18"/>
                <w:lang w:eastAsia="en-GB"/>
              </w:rPr>
              <w:t>1 in 10 Years</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4.43%</w:t>
            </w:r>
          </w:p>
        </w:tc>
        <w:tc>
          <w:tcPr>
            <w:tcW w:w="1134"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8.31%</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6.92%</w:t>
            </w:r>
          </w:p>
        </w:tc>
        <w:tc>
          <w:tcPr>
            <w:tcW w:w="992" w:type="dxa"/>
            <w:tcBorders>
              <w:top w:val="nil"/>
              <w:left w:val="nil"/>
              <w:bottom w:val="single" w:sz="4" w:space="0" w:color="auto"/>
              <w:right w:val="single" w:sz="4" w:space="0" w:color="auto"/>
            </w:tcBorders>
          </w:tcPr>
          <w:p w:rsidR="00E17AE5" w:rsidRP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10</w:t>
            </w:r>
          </w:p>
        </w:tc>
        <w:tc>
          <w:tcPr>
            <w:tcW w:w="992"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36%</w:t>
            </w:r>
          </w:p>
        </w:tc>
        <w:tc>
          <w:tcPr>
            <w:tcW w:w="1241"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33.3%</w:t>
            </w:r>
          </w:p>
        </w:tc>
      </w:tr>
      <w:tr w:rsidR="00E17AE5" w:rsidRPr="00FE24C0" w:rsidTr="00E17AE5">
        <w:trPr>
          <w:trHeight w:val="30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E17AE5" w:rsidRPr="00E17AE5" w:rsidRDefault="00F0345D" w:rsidP="002C0628">
            <w:pPr>
              <w:spacing w:after="0"/>
              <w:jc w:val="center"/>
              <w:rPr>
                <w:rFonts w:eastAsia="Times New Roman"/>
                <w:color w:val="000000"/>
                <w:sz w:val="18"/>
                <w:szCs w:val="18"/>
                <w:lang w:eastAsia="en-GB"/>
              </w:rPr>
            </w:pPr>
            <w:r w:rsidRPr="00F0345D">
              <w:rPr>
                <w:rFonts w:eastAsia="Times New Roman"/>
                <w:color w:val="000000"/>
                <w:sz w:val="18"/>
                <w:szCs w:val="18"/>
                <w:lang w:eastAsia="en-GB"/>
              </w:rPr>
              <w:t>1 in 12 Years</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3.52%</w:t>
            </w:r>
          </w:p>
        </w:tc>
        <w:tc>
          <w:tcPr>
            <w:tcW w:w="1134"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7.41%</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5.74%</w:t>
            </w:r>
          </w:p>
        </w:tc>
        <w:tc>
          <w:tcPr>
            <w:tcW w:w="992" w:type="dxa"/>
            <w:tcBorders>
              <w:top w:val="nil"/>
              <w:left w:val="nil"/>
              <w:bottom w:val="single" w:sz="4" w:space="0" w:color="auto"/>
              <w:right w:val="single" w:sz="4" w:space="0" w:color="auto"/>
            </w:tcBorders>
          </w:tcPr>
          <w:p w:rsidR="00E17AE5" w:rsidRP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8</w:t>
            </w:r>
          </w:p>
        </w:tc>
        <w:tc>
          <w:tcPr>
            <w:tcW w:w="992"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29%</w:t>
            </w:r>
          </w:p>
        </w:tc>
        <w:tc>
          <w:tcPr>
            <w:tcW w:w="1241"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31.7%</w:t>
            </w:r>
          </w:p>
        </w:tc>
      </w:tr>
      <w:tr w:rsidR="00E17AE5" w:rsidRPr="00FE24C0" w:rsidTr="00E17AE5">
        <w:trPr>
          <w:trHeight w:val="30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E17AE5" w:rsidRPr="00E17AE5" w:rsidRDefault="00F0345D" w:rsidP="002C0628">
            <w:pPr>
              <w:spacing w:after="0"/>
              <w:jc w:val="center"/>
              <w:rPr>
                <w:rFonts w:eastAsia="Times New Roman"/>
                <w:color w:val="000000"/>
                <w:sz w:val="18"/>
                <w:szCs w:val="18"/>
                <w:lang w:eastAsia="en-GB"/>
              </w:rPr>
            </w:pPr>
            <w:r w:rsidRPr="00F0345D">
              <w:rPr>
                <w:rFonts w:eastAsia="Times New Roman"/>
                <w:color w:val="000000"/>
                <w:sz w:val="18"/>
                <w:szCs w:val="18"/>
                <w:lang w:eastAsia="en-GB"/>
              </w:rPr>
              <w:t>1 in 15 Years</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2.62%</w:t>
            </w:r>
          </w:p>
        </w:tc>
        <w:tc>
          <w:tcPr>
            <w:tcW w:w="1134"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6.45%</w:t>
            </w:r>
          </w:p>
        </w:tc>
        <w:tc>
          <w:tcPr>
            <w:tcW w:w="1417" w:type="dxa"/>
            <w:tcBorders>
              <w:top w:val="nil"/>
              <w:left w:val="nil"/>
              <w:bottom w:val="single" w:sz="4" w:space="0" w:color="auto"/>
              <w:right w:val="single" w:sz="4" w:space="0" w:color="auto"/>
            </w:tcBorders>
            <w:shd w:val="clear" w:color="auto" w:fill="auto"/>
            <w:noWrap/>
            <w:vAlign w:val="bottom"/>
            <w:hideMark/>
          </w:tcPr>
          <w:p w:rsidR="00E17AE5" w:rsidRPr="00E17AE5" w:rsidRDefault="00F0345D" w:rsidP="002C0628">
            <w:pPr>
              <w:spacing w:after="0" w:line="276" w:lineRule="auto"/>
              <w:ind w:left="660"/>
              <w:jc w:val="center"/>
              <w:rPr>
                <w:rFonts w:eastAsia="Times New Roman"/>
                <w:color w:val="000000"/>
                <w:sz w:val="18"/>
                <w:szCs w:val="18"/>
                <w:lang w:eastAsia="en-GB"/>
              </w:rPr>
            </w:pPr>
            <w:r w:rsidRPr="00F0345D">
              <w:rPr>
                <w:rFonts w:eastAsia="Times New Roman"/>
                <w:color w:val="000000"/>
                <w:sz w:val="18"/>
                <w:szCs w:val="18"/>
                <w:lang w:eastAsia="en-GB"/>
              </w:rPr>
              <w:t>4.56%</w:t>
            </w:r>
          </w:p>
        </w:tc>
        <w:tc>
          <w:tcPr>
            <w:tcW w:w="992" w:type="dxa"/>
            <w:tcBorders>
              <w:top w:val="nil"/>
              <w:left w:val="nil"/>
              <w:bottom w:val="single" w:sz="4" w:space="0" w:color="auto"/>
              <w:right w:val="single" w:sz="4" w:space="0" w:color="auto"/>
            </w:tcBorders>
          </w:tcPr>
          <w:p w:rsidR="00E17AE5" w:rsidRP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6</w:t>
            </w:r>
          </w:p>
        </w:tc>
        <w:tc>
          <w:tcPr>
            <w:tcW w:w="992"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21%</w:t>
            </w:r>
          </w:p>
        </w:tc>
        <w:tc>
          <w:tcPr>
            <w:tcW w:w="1241" w:type="dxa"/>
            <w:tcBorders>
              <w:top w:val="nil"/>
              <w:left w:val="nil"/>
              <w:bottom w:val="single" w:sz="4" w:space="0" w:color="auto"/>
              <w:right w:val="single" w:sz="4" w:space="0" w:color="auto"/>
            </w:tcBorders>
          </w:tcPr>
          <w:p w:rsidR="00E17AE5" w:rsidRDefault="00E17AE5" w:rsidP="002C0628">
            <w:pPr>
              <w:spacing w:after="0"/>
              <w:jc w:val="center"/>
              <w:rPr>
                <w:rFonts w:eastAsia="Times New Roman"/>
                <w:color w:val="000000"/>
                <w:sz w:val="18"/>
                <w:szCs w:val="18"/>
                <w:lang w:eastAsia="en-GB"/>
              </w:rPr>
            </w:pPr>
            <w:r>
              <w:rPr>
                <w:rFonts w:eastAsia="Times New Roman"/>
                <w:color w:val="000000"/>
                <w:sz w:val="18"/>
                <w:szCs w:val="18"/>
                <w:lang w:eastAsia="en-GB"/>
              </w:rPr>
              <w:t>29.8%</w:t>
            </w:r>
          </w:p>
        </w:tc>
      </w:tr>
    </w:tbl>
    <w:p w:rsidR="002C6C70" w:rsidRDefault="002C6C70" w:rsidP="000E35EC">
      <w:pPr>
        <w:pStyle w:val="Source"/>
        <w:rPr>
          <w:lang w:eastAsia="es-NI"/>
        </w:rPr>
      </w:pPr>
      <w:r w:rsidRPr="00FE24C0">
        <w:rPr>
          <w:lang w:eastAsia="es-NI"/>
        </w:rPr>
        <w:t>Source: Authors’ analysis in NDVI Rating Model</w:t>
      </w:r>
    </w:p>
    <w:p w:rsidR="009900A8" w:rsidRDefault="009900A8">
      <w:pPr>
        <w:pStyle w:val="WB"/>
        <w:numPr>
          <w:ilvl w:val="0"/>
          <w:numId w:val="0"/>
        </w:numPr>
        <w:rPr>
          <w:b/>
          <w:lang w:eastAsia="es-NI"/>
        </w:rPr>
      </w:pPr>
    </w:p>
    <w:p w:rsidR="009900A8" w:rsidRDefault="009900A8">
      <w:pPr>
        <w:pStyle w:val="WB"/>
        <w:numPr>
          <w:ilvl w:val="0"/>
          <w:numId w:val="0"/>
        </w:numPr>
        <w:rPr>
          <w:b/>
          <w:lang w:eastAsia="es-NI"/>
        </w:rPr>
      </w:pPr>
    </w:p>
    <w:p w:rsidR="009900A8" w:rsidRDefault="009900A8">
      <w:pPr>
        <w:pStyle w:val="WB"/>
        <w:numPr>
          <w:ilvl w:val="0"/>
          <w:numId w:val="0"/>
        </w:numPr>
        <w:rPr>
          <w:b/>
          <w:lang w:eastAsia="es-NI"/>
        </w:rPr>
      </w:pPr>
    </w:p>
    <w:p w:rsidR="00E2141D" w:rsidRDefault="00F0345D">
      <w:pPr>
        <w:pStyle w:val="WB"/>
        <w:numPr>
          <w:ilvl w:val="0"/>
          <w:numId w:val="0"/>
        </w:numPr>
        <w:rPr>
          <w:b/>
          <w:lang w:eastAsia="es-NI"/>
        </w:rPr>
      </w:pPr>
      <w:proofErr w:type="gramStart"/>
      <w:r w:rsidRPr="00F0345D">
        <w:rPr>
          <w:b/>
          <w:lang w:eastAsia="es-NI"/>
        </w:rPr>
        <w:lastRenderedPageBreak/>
        <w:t>Figure 5.</w:t>
      </w:r>
      <w:r w:rsidR="001E05EF">
        <w:rPr>
          <w:b/>
          <w:lang w:eastAsia="es-NI"/>
        </w:rPr>
        <w:t>9</w:t>
      </w:r>
      <w:r w:rsidRPr="00F0345D">
        <w:rPr>
          <w:b/>
          <w:lang w:eastAsia="es-NI"/>
        </w:rPr>
        <w:t>.</w:t>
      </w:r>
      <w:proofErr w:type="gramEnd"/>
      <w:r w:rsidRPr="00F0345D">
        <w:rPr>
          <w:b/>
          <w:lang w:eastAsia="es-NI"/>
        </w:rPr>
        <w:t xml:space="preserve"> Cuartel 22, Bahia Blanca: Annual loss costs for </w:t>
      </w:r>
      <w:r w:rsidR="002D6262">
        <w:rPr>
          <w:b/>
          <w:lang w:eastAsia="es-NI"/>
        </w:rPr>
        <w:t xml:space="preserve">monthly </w:t>
      </w:r>
      <w:r w:rsidRPr="00F0345D">
        <w:rPr>
          <w:b/>
          <w:lang w:eastAsia="es-NI"/>
        </w:rPr>
        <w:t>payout frequencies of 1 in 7 years to 1 in 15 years</w:t>
      </w:r>
    </w:p>
    <w:p w:rsidR="00E2141D" w:rsidRDefault="00E2141D">
      <w:pPr>
        <w:pStyle w:val="WB"/>
        <w:numPr>
          <w:ilvl w:val="0"/>
          <w:numId w:val="0"/>
        </w:numPr>
        <w:spacing w:after="120"/>
        <w:rPr>
          <w:lang w:eastAsia="es-NI"/>
        </w:rPr>
      </w:pPr>
      <w:r>
        <w:rPr>
          <w:noProof/>
          <w:lang w:val="es-AR" w:eastAsia="es-AR"/>
        </w:rPr>
        <w:drawing>
          <wp:inline distT="0" distB="0" distL="0" distR="0">
            <wp:extent cx="5499100" cy="2638425"/>
            <wp:effectExtent l="19050" t="0" r="2540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141D" w:rsidRDefault="00252FBF">
      <w:pPr>
        <w:pStyle w:val="WB"/>
        <w:numPr>
          <w:ilvl w:val="0"/>
          <w:numId w:val="0"/>
        </w:numPr>
        <w:rPr>
          <w:lang w:eastAsia="es-NI"/>
        </w:rPr>
      </w:pPr>
      <w:r>
        <w:rPr>
          <w:lang w:eastAsia="es-NI"/>
        </w:rPr>
        <w:t xml:space="preserve">Source: </w:t>
      </w:r>
      <w:r w:rsidRPr="00FE24C0">
        <w:rPr>
          <w:lang w:eastAsia="es-NI"/>
        </w:rPr>
        <w:t>Authors’ analysis in NDVI Rating Model</w:t>
      </w:r>
    </w:p>
    <w:p w:rsidR="000C6233" w:rsidRPr="00311A14" w:rsidRDefault="002A0145" w:rsidP="00311A14">
      <w:pPr>
        <w:rPr>
          <w:b/>
          <w:lang w:eastAsia="es-NI"/>
        </w:rPr>
      </w:pPr>
      <w:r w:rsidRPr="00311A14">
        <w:rPr>
          <w:b/>
          <w:lang w:eastAsia="es-NI"/>
        </w:rPr>
        <w:t xml:space="preserve">Departmental-level </w:t>
      </w:r>
      <w:r w:rsidR="00BD3A26" w:rsidRPr="00311A14">
        <w:rPr>
          <w:b/>
          <w:lang w:eastAsia="es-NI"/>
        </w:rPr>
        <w:t>NDVI Rates</w:t>
      </w:r>
    </w:p>
    <w:p w:rsidR="000C6233" w:rsidRPr="00311A14" w:rsidRDefault="00CF50C6" w:rsidP="00311A14">
      <w:pPr>
        <w:pStyle w:val="WBReport"/>
      </w:pPr>
      <w:r w:rsidRPr="00563117">
        <w:rPr>
          <w:b/>
          <w:i/>
        </w:rPr>
        <w:t xml:space="preserve">The variation </w:t>
      </w:r>
      <w:r w:rsidR="007F3FD2" w:rsidRPr="00563117">
        <w:rPr>
          <w:b/>
          <w:i/>
        </w:rPr>
        <w:t xml:space="preserve">in </w:t>
      </w:r>
      <w:r w:rsidRPr="00563117">
        <w:rPr>
          <w:b/>
          <w:i/>
        </w:rPr>
        <w:t xml:space="preserve">Cuartel </w:t>
      </w:r>
      <w:r w:rsidR="00576FE9" w:rsidRPr="00563117">
        <w:rPr>
          <w:b/>
          <w:i/>
        </w:rPr>
        <w:t>r</w:t>
      </w:r>
      <w:r w:rsidRPr="00563117">
        <w:rPr>
          <w:b/>
          <w:i/>
        </w:rPr>
        <w:t>ates within a single</w:t>
      </w:r>
      <w:r w:rsidR="002508FB" w:rsidRPr="00563117">
        <w:rPr>
          <w:b/>
          <w:i/>
        </w:rPr>
        <w:t xml:space="preserve"> department is illustrated for </w:t>
      </w:r>
      <w:r w:rsidRPr="00563117">
        <w:rPr>
          <w:b/>
          <w:i/>
        </w:rPr>
        <w:t>the 9 Cuartels in Bahia Blanca</w:t>
      </w:r>
      <w:r w:rsidR="001A24FC" w:rsidRPr="00563117">
        <w:rPr>
          <w:b/>
        </w:rPr>
        <w:t>.</w:t>
      </w:r>
      <w:r w:rsidR="001A24FC" w:rsidRPr="00311A14">
        <w:t xml:space="preserve"> This analysis is based on the same parameters presented for Cuartel 22 (see Table 5.7). In Bahia Blanca, the pure loss cost premium rates for a 7 year payout frequency vary between an average low of 7.20% in Cuartel 22 to a high of 8.88% in Cuartel 23 with an overall average Departmental pure loss cost rate of 7.59%. The corresponding average Departmental technical premium rate is 12.07% with range from 10.70% (Cuartel 22) to 13.79% (Cuartel 23). Details of the number of insured animals, sum insured and pure loss cost and technical premiums are also shown by Cuartel for Bahia Blanca with TSI of AR$11.5 million and a calculated technical premium of AR$ 1.39 million. (Table 5.11).</w:t>
      </w:r>
    </w:p>
    <w:p w:rsidR="00F26EDA" w:rsidRPr="00FE24C0" w:rsidRDefault="00CE2801" w:rsidP="00D96CE8">
      <w:pPr>
        <w:pStyle w:val="HeadFiguresTablesBoxes"/>
      </w:pPr>
      <w:proofErr w:type="gramStart"/>
      <w:r w:rsidRPr="00FE24C0">
        <w:t>Table 5.11.</w:t>
      </w:r>
      <w:proofErr w:type="gramEnd"/>
      <w:r w:rsidRPr="00FE24C0">
        <w:t xml:space="preserve"> Bahia Blanca</w:t>
      </w:r>
      <w:r w:rsidR="002508FB" w:rsidRPr="00FE24C0">
        <w:t xml:space="preserve"> Department</w:t>
      </w:r>
      <w:r w:rsidRPr="00FE24C0">
        <w:t xml:space="preserve">: Average loss cost rates and technical premium rates by Cuartel, 7 year payout frequency by month </w:t>
      </w:r>
    </w:p>
    <w:p w:rsidR="00031EC9" w:rsidRPr="00FE24C0" w:rsidRDefault="00031EC9" w:rsidP="00D96CE8">
      <w:pPr>
        <w:pStyle w:val="HeadFiguresTablesBoxes"/>
      </w:pPr>
      <w:r w:rsidRPr="00FE24C0">
        <w:rPr>
          <w:noProof/>
          <w:lang w:val="es-AR" w:eastAsia="es-AR"/>
        </w:rPr>
        <w:drawing>
          <wp:inline distT="0" distB="0" distL="0" distR="0">
            <wp:extent cx="5490210" cy="1826833"/>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 cstate="print"/>
                    <a:srcRect/>
                    <a:stretch>
                      <a:fillRect/>
                    </a:stretch>
                  </pic:blipFill>
                  <pic:spPr bwMode="auto">
                    <a:xfrm>
                      <a:off x="0" y="0"/>
                      <a:ext cx="5490210" cy="1826833"/>
                    </a:xfrm>
                    <a:prstGeom prst="rect">
                      <a:avLst/>
                    </a:prstGeom>
                    <a:noFill/>
                    <a:ln w="9525">
                      <a:noFill/>
                      <a:miter lim="800000"/>
                      <a:headEnd/>
                      <a:tailEnd/>
                    </a:ln>
                  </pic:spPr>
                </pic:pic>
              </a:graphicData>
            </a:graphic>
          </wp:inline>
        </w:drawing>
      </w:r>
    </w:p>
    <w:p w:rsidR="002A0145" w:rsidRDefault="002A0145" w:rsidP="000E35EC">
      <w:pPr>
        <w:pStyle w:val="Source"/>
      </w:pPr>
      <w:r w:rsidRPr="00FE24C0">
        <w:t>Source: Authors’ NDVI Rating Model</w:t>
      </w:r>
    </w:p>
    <w:p w:rsidR="000C6233" w:rsidRPr="00FE24C0" w:rsidRDefault="002A0145" w:rsidP="00311A14">
      <w:pPr>
        <w:pStyle w:val="WBReport"/>
        <w:rPr>
          <w:i/>
        </w:rPr>
      </w:pPr>
      <w:r w:rsidRPr="00563117">
        <w:rPr>
          <w:b/>
          <w:i/>
        </w:rPr>
        <w:lastRenderedPageBreak/>
        <w:t>The</w:t>
      </w:r>
      <w:r w:rsidR="00DB03CA" w:rsidRPr="00563117">
        <w:rPr>
          <w:b/>
          <w:i/>
        </w:rPr>
        <w:t>re is a major</w:t>
      </w:r>
      <w:r w:rsidRPr="00563117">
        <w:rPr>
          <w:b/>
          <w:i/>
        </w:rPr>
        <w:t xml:space="preserve"> </w:t>
      </w:r>
      <w:r w:rsidR="00DB03CA" w:rsidRPr="00563117">
        <w:rPr>
          <w:b/>
          <w:i/>
        </w:rPr>
        <w:t>effect</w:t>
      </w:r>
      <w:r w:rsidRPr="00563117">
        <w:rPr>
          <w:b/>
          <w:i/>
        </w:rPr>
        <w:t xml:space="preserve"> of </w:t>
      </w:r>
      <w:r w:rsidR="00DB03CA" w:rsidRPr="00563117">
        <w:rPr>
          <w:b/>
          <w:i/>
        </w:rPr>
        <w:t xml:space="preserve">changing the </w:t>
      </w:r>
      <w:r w:rsidRPr="00563117">
        <w:rPr>
          <w:b/>
          <w:i/>
        </w:rPr>
        <w:t xml:space="preserve">frequency of payouts to </w:t>
      </w:r>
      <w:r w:rsidR="00BF2783" w:rsidRPr="00563117">
        <w:rPr>
          <w:b/>
          <w:i/>
        </w:rPr>
        <w:t xml:space="preserve">1 in 10 </w:t>
      </w:r>
      <w:r w:rsidRPr="00563117">
        <w:rPr>
          <w:b/>
          <w:i/>
        </w:rPr>
        <w:t xml:space="preserve">years </w:t>
      </w:r>
      <w:r w:rsidR="00DB03CA" w:rsidRPr="00563117">
        <w:rPr>
          <w:b/>
          <w:i/>
        </w:rPr>
        <w:t>in terms of reducing t</w:t>
      </w:r>
      <w:r w:rsidRPr="00563117">
        <w:rPr>
          <w:b/>
          <w:i/>
        </w:rPr>
        <w:t>he pure loss rates and technical rates for the nine Cuartels in Bahia Blanca</w:t>
      </w:r>
      <w:r w:rsidR="00DB03CA" w:rsidRPr="00563117">
        <w:rPr>
          <w:b/>
          <w:i/>
        </w:rPr>
        <w:t>.</w:t>
      </w:r>
      <w:r w:rsidR="00DB03CA" w:rsidRPr="00FE24C0">
        <w:rPr>
          <w:i/>
        </w:rPr>
        <w:t xml:space="preserve"> </w:t>
      </w:r>
      <w:r w:rsidR="001A24FC" w:rsidRPr="00311A14">
        <w:t xml:space="preserve">Table 5.12 shows that if the Payout frequency is reduced from 1 in 7 years to 1 in 10 years this </w:t>
      </w:r>
      <w:proofErr w:type="gramStart"/>
      <w:r w:rsidR="001A24FC" w:rsidRPr="00311A14">
        <w:t>reduces</w:t>
      </w:r>
      <w:proofErr w:type="gramEnd"/>
      <w:r w:rsidR="001A24FC" w:rsidRPr="00311A14">
        <w:t xml:space="preserve"> the average departmental loss cost by about one third to 5.00% and the average technical rate to 8.28% with corresponding reductions in the rates across the 7 insured units (Cuartels). </w:t>
      </w:r>
    </w:p>
    <w:p w:rsidR="002508FB" w:rsidRPr="00FE24C0" w:rsidRDefault="002508FB" w:rsidP="00D96CE8">
      <w:pPr>
        <w:pStyle w:val="HeadFiguresTablesBoxes"/>
      </w:pPr>
      <w:proofErr w:type="gramStart"/>
      <w:r w:rsidRPr="00FE24C0">
        <w:t>Table 5.12.</w:t>
      </w:r>
      <w:proofErr w:type="gramEnd"/>
      <w:r w:rsidRPr="00FE24C0">
        <w:t xml:space="preserve"> Bahia Blanca Department: Average loss cost rates and technical premium rates by Cuartel, 10 year payout frequency by month </w:t>
      </w:r>
    </w:p>
    <w:tbl>
      <w:tblPr>
        <w:tblW w:w="8735" w:type="dxa"/>
        <w:tblInd w:w="103" w:type="dxa"/>
        <w:tblLook w:val="04A0"/>
      </w:tblPr>
      <w:tblGrid>
        <w:gridCol w:w="847"/>
        <w:gridCol w:w="868"/>
        <w:gridCol w:w="810"/>
        <w:gridCol w:w="810"/>
        <w:gridCol w:w="900"/>
        <w:gridCol w:w="900"/>
        <w:gridCol w:w="810"/>
        <w:gridCol w:w="936"/>
        <w:gridCol w:w="954"/>
        <w:gridCol w:w="900"/>
      </w:tblGrid>
      <w:tr w:rsidR="00FE24C0" w:rsidRPr="00FE24C0" w:rsidTr="00A523B7">
        <w:trPr>
          <w:trHeight w:val="630"/>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632" w:rsidRPr="00FE24C0" w:rsidRDefault="000E0632" w:rsidP="004B5ED8">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Insured Unit (Cuartel)</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xml:space="preserve">HRZ (Cluster) I.D.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Average Loss Cost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St. Dev. Loss Cost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Technical Rate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Insured Cows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No. Insured Heifers</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Total Sum Insured (AR$)</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Pure Risk Premium (AR$)</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E0632" w:rsidRPr="00FE24C0" w:rsidRDefault="000E0632" w:rsidP="004B5ED8">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Technical Premium (AR$)</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18</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C18_1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5.22%</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11.77%</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8.75%</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207</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285</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144,267</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7,526</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12,619</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19</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C19_1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5.51%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13.29%</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9.50%</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4,560</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3,796</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2,528,748</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139,319</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240,169</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20</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C20_1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4.70%</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9.80%</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7.64%</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9,328</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4,768</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4,388,840</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206,457</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335,492</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21</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C21_1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5.04%</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10.78%</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8.27%</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5,091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2,868</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2,464,837</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124,251</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203,962</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22</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C22_1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4.43%</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8.31%</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6.92%</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1,569</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1,927</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1,032,499</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45,691</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71,428</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23</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C23_3</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5.52%</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11.99%</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9.12%</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1,610</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616</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703,373</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38,822</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64,113</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24</w:t>
            </w:r>
          </w:p>
        </w:tc>
        <w:tc>
          <w:tcPr>
            <w:tcW w:w="868" w:type="dxa"/>
            <w:tcBorders>
              <w:top w:val="nil"/>
              <w:left w:val="nil"/>
              <w:bottom w:val="single" w:sz="4" w:space="0" w:color="auto"/>
              <w:right w:val="single" w:sz="4" w:space="0" w:color="auto"/>
            </w:tcBorders>
            <w:shd w:val="clear" w:color="auto" w:fill="auto"/>
            <w:noWrap/>
            <w:vAlign w:val="center"/>
            <w:hideMark/>
          </w:tcPr>
          <w:p w:rsidR="00DB03CA" w:rsidRPr="00FE24C0" w:rsidRDefault="00DB03CA" w:rsidP="004B5ED8">
            <w:pPr>
              <w:spacing w:after="0"/>
              <w:jc w:val="center"/>
              <w:rPr>
                <w:rFonts w:eastAsia="Times New Roman"/>
                <w:color w:val="000000"/>
                <w:sz w:val="16"/>
                <w:szCs w:val="16"/>
                <w:lang w:eastAsia="en-GB"/>
              </w:rPr>
            </w:pPr>
            <w:r w:rsidRPr="00FE24C0">
              <w:rPr>
                <w:rFonts w:eastAsia="Times New Roman"/>
                <w:color w:val="000000"/>
                <w:sz w:val="16"/>
                <w:szCs w:val="16"/>
                <w:lang w:eastAsia="en-GB"/>
              </w:rPr>
              <w:t>C24_1</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5.64%</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15.02%</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10.14%</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548</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237</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246,558</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13,902</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color w:val="000000"/>
                <w:sz w:val="16"/>
                <w:szCs w:val="16"/>
                <w:lang w:eastAsia="en-GB"/>
              </w:rPr>
            </w:pPr>
            <w:r w:rsidRPr="00FE24C0">
              <w:rPr>
                <w:rFonts w:eastAsia="Times New Roman"/>
                <w:color w:val="000000"/>
                <w:sz w:val="16"/>
                <w:szCs w:val="16"/>
                <w:lang w:eastAsia="en-GB"/>
              </w:rPr>
              <w:t>25,012</w:t>
            </w:r>
          </w:p>
        </w:tc>
      </w:tr>
      <w:tr w:rsidR="00FE24C0" w:rsidRPr="00FE24C0" w:rsidTr="00A523B7">
        <w:trPr>
          <w:trHeight w:val="300"/>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DB03CA" w:rsidRPr="00FE24C0" w:rsidRDefault="00DB03CA" w:rsidP="004B5ED8">
            <w:pPr>
              <w:spacing w:after="0"/>
              <w:jc w:val="left"/>
              <w:rPr>
                <w:rFonts w:eastAsia="Times New Roman"/>
                <w:color w:val="000000"/>
                <w:sz w:val="16"/>
                <w:szCs w:val="16"/>
                <w:lang w:eastAsia="en-GB"/>
              </w:rPr>
            </w:pPr>
            <w:r w:rsidRPr="00FE24C0">
              <w:rPr>
                <w:rFonts w:eastAsia="Times New Roman"/>
                <w:color w:val="000000"/>
                <w:sz w:val="16"/>
                <w:szCs w:val="16"/>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Total</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5.00%</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8.28%</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22,913</w:t>
            </w:r>
          </w:p>
        </w:tc>
        <w:tc>
          <w:tcPr>
            <w:tcW w:w="81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14,497</w:t>
            </w:r>
          </w:p>
        </w:tc>
        <w:tc>
          <w:tcPr>
            <w:tcW w:w="936"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11,509,123</w:t>
            </w:r>
          </w:p>
        </w:tc>
        <w:tc>
          <w:tcPr>
            <w:tcW w:w="954"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575,968</w:t>
            </w:r>
          </w:p>
        </w:tc>
        <w:tc>
          <w:tcPr>
            <w:tcW w:w="900" w:type="dxa"/>
            <w:tcBorders>
              <w:top w:val="nil"/>
              <w:left w:val="nil"/>
              <w:bottom w:val="single" w:sz="4" w:space="0" w:color="auto"/>
              <w:right w:val="single" w:sz="4" w:space="0" w:color="auto"/>
            </w:tcBorders>
            <w:shd w:val="clear" w:color="auto" w:fill="auto"/>
            <w:noWrap/>
            <w:vAlign w:val="bottom"/>
            <w:hideMark/>
          </w:tcPr>
          <w:p w:rsidR="00DB03CA" w:rsidRPr="00FE24C0" w:rsidRDefault="00DB03CA" w:rsidP="004B5ED8">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952,795</w:t>
            </w:r>
          </w:p>
        </w:tc>
      </w:tr>
    </w:tbl>
    <w:p w:rsidR="00DB03CA" w:rsidRPr="00FE24C0" w:rsidRDefault="00083ADB" w:rsidP="000E35EC">
      <w:pPr>
        <w:pStyle w:val="Source"/>
      </w:pPr>
      <w:r w:rsidRPr="00FE24C0">
        <w:t>Source: Authors’ NDVI Rating Model</w:t>
      </w:r>
    </w:p>
    <w:p w:rsidR="007539B3" w:rsidRPr="00FE24C0" w:rsidRDefault="007539B3" w:rsidP="007539B3">
      <w:pPr>
        <w:pStyle w:val="APDroughtPara"/>
        <w:numPr>
          <w:ilvl w:val="0"/>
          <w:numId w:val="0"/>
        </w:numPr>
        <w:tabs>
          <w:tab w:val="left" w:pos="720"/>
        </w:tabs>
        <w:outlineLvl w:val="9"/>
        <w:rPr>
          <w:b/>
          <w:szCs w:val="22"/>
        </w:rPr>
      </w:pPr>
      <w:r w:rsidRPr="00FE24C0">
        <w:rPr>
          <w:b/>
          <w:szCs w:val="22"/>
        </w:rPr>
        <w:t xml:space="preserve">Analysis of </w:t>
      </w:r>
      <w:r w:rsidR="00763A17" w:rsidRPr="00FE24C0">
        <w:rPr>
          <w:b/>
          <w:szCs w:val="22"/>
        </w:rPr>
        <w:t xml:space="preserve">Technical </w:t>
      </w:r>
      <w:r w:rsidRPr="00FE24C0">
        <w:rPr>
          <w:b/>
          <w:szCs w:val="22"/>
        </w:rPr>
        <w:t>Premium Rates for SWBA Province</w:t>
      </w:r>
    </w:p>
    <w:p w:rsidR="000C6233" w:rsidRPr="00311A14" w:rsidRDefault="00CA652C" w:rsidP="00311A14">
      <w:pPr>
        <w:pStyle w:val="WBReport"/>
      </w:pPr>
      <w:r w:rsidRPr="00563117">
        <w:rPr>
          <w:b/>
          <w:i/>
        </w:rPr>
        <w:t xml:space="preserve">The </w:t>
      </w:r>
      <w:r w:rsidR="004B5ED8" w:rsidRPr="00563117">
        <w:rPr>
          <w:b/>
          <w:i/>
        </w:rPr>
        <w:t xml:space="preserve">analysis in this section presents the pure risk rates and technical rates by Department for the overall </w:t>
      </w:r>
      <w:r w:rsidRPr="00563117">
        <w:rPr>
          <w:b/>
          <w:i/>
        </w:rPr>
        <w:t>NDVI insurance p</w:t>
      </w:r>
      <w:r w:rsidR="004B5ED8" w:rsidRPr="00563117">
        <w:rPr>
          <w:b/>
          <w:i/>
        </w:rPr>
        <w:t>rogram in SWBA.</w:t>
      </w:r>
      <w:r w:rsidR="004B5ED8" w:rsidRPr="00FE24C0">
        <w:rPr>
          <w:i/>
        </w:rPr>
        <w:t xml:space="preserve">  </w:t>
      </w:r>
      <w:r w:rsidR="001A24FC" w:rsidRPr="00311A14">
        <w:t>Table 5.13 presents the overall portfolio analysis assuming a 7-year payout frequency per month in any Cuartel. The analysis shows that with a TSI of AR$ 334 million, and an average pure lost cost rate of 7.42%, the average expected payouts on this program would amount to AR$ 24.8 million per year. The corresponding average technical premium rate is 11.83% with technical premium of AR$ 39.6 million. The individual Cuartel pure risk rates and technical premium rates for a 1 in 7 year payout frequency are also shown for all 12 departments in the maps in Figure 5.</w:t>
      </w:r>
      <w:r w:rsidR="001E05EF">
        <w:t>10</w:t>
      </w:r>
      <w:r w:rsidR="001A24FC" w:rsidRPr="00311A14">
        <w:t xml:space="preserve">, but there are no discernible patterns in the levels of the Cuartel NDVI technical rates from north to south or east to west. This undefined pattern in premiums is due to the fact that the Threshold Triggers and Exit Triggers were set on an Insured Unit basis: in regions with lower (higher) annual rainfall values and lower (higher) NDVI values, the Triggers were set at lower (higher) levels. The triggers adjustment through the different regions seeks to insure similar levels of exposure. If the triggers were set at the same level in all the regions, the southern departments would be affected more frequently and with more intensity, and consequently their technical rates would be higher. </w:t>
      </w:r>
    </w:p>
    <w:p w:rsidR="008B1279" w:rsidRPr="00311A14" w:rsidRDefault="008B1279" w:rsidP="008B1279">
      <w:pPr>
        <w:pStyle w:val="WBReport"/>
      </w:pPr>
      <w:r w:rsidRPr="00563117">
        <w:rPr>
          <w:b/>
          <w:i/>
        </w:rPr>
        <w:t>For the overall SWBA NDVI insurance program there are significant reductions in the pure risk premium rates and technical premium rates of the 1 in 10 year’s payout frequency</w:t>
      </w:r>
      <w:r w:rsidRPr="00563117">
        <w:rPr>
          <w:b/>
        </w:rPr>
        <w:t>.</w:t>
      </w:r>
      <w:r w:rsidRPr="00311A14">
        <w:t xml:space="preserve">  In this case the average pure risk premium rate is reduced to 4.99% with pure risk premium of AR$ 16.7 million. The calculated average technical premium rate is 8.36% with technical premium of AR$ 27.9 million (Table 5.14).</w:t>
      </w:r>
    </w:p>
    <w:p w:rsidR="008B1279" w:rsidRDefault="008B1279" w:rsidP="00D96CE8">
      <w:pPr>
        <w:pStyle w:val="HeadFiguresTablesBoxes"/>
      </w:pPr>
    </w:p>
    <w:p w:rsidR="004B5ED8" w:rsidRPr="00FE24C0" w:rsidRDefault="004B5ED8" w:rsidP="00D96CE8">
      <w:pPr>
        <w:pStyle w:val="HeadFiguresTablesBoxes"/>
      </w:pPr>
      <w:proofErr w:type="gramStart"/>
      <w:r w:rsidRPr="00FE24C0">
        <w:lastRenderedPageBreak/>
        <w:t>Table 5.1</w:t>
      </w:r>
      <w:r w:rsidR="002508FB" w:rsidRPr="00FE24C0">
        <w:t>3</w:t>
      </w:r>
      <w:r w:rsidRPr="00FE24C0">
        <w:t>.</w:t>
      </w:r>
      <w:proofErr w:type="gramEnd"/>
      <w:r w:rsidRPr="00FE24C0">
        <w:t xml:space="preserve">  SWBA NDVI Program T</w:t>
      </w:r>
      <w:r w:rsidR="00CE4F8D" w:rsidRPr="00FE24C0">
        <w:t xml:space="preserve">otal </w:t>
      </w:r>
      <w:r w:rsidRPr="00FE24C0">
        <w:t>S</w:t>
      </w:r>
      <w:r w:rsidR="00CE4F8D" w:rsidRPr="00FE24C0">
        <w:t xml:space="preserve">um </w:t>
      </w:r>
      <w:r w:rsidRPr="00FE24C0">
        <w:t>I</w:t>
      </w:r>
      <w:r w:rsidR="00CE4F8D" w:rsidRPr="00FE24C0">
        <w:t>nsured</w:t>
      </w:r>
      <w:r w:rsidRPr="00FE24C0">
        <w:t>, pure risk premium and technical premium for monthly payout frequency 1 in 7 Years</w:t>
      </w:r>
    </w:p>
    <w:tbl>
      <w:tblPr>
        <w:tblW w:w="8255" w:type="dxa"/>
        <w:tblInd w:w="103" w:type="dxa"/>
        <w:tblLook w:val="04A0"/>
      </w:tblPr>
      <w:tblGrid>
        <w:gridCol w:w="776"/>
        <w:gridCol w:w="1080"/>
        <w:gridCol w:w="820"/>
        <w:gridCol w:w="820"/>
        <w:gridCol w:w="1100"/>
        <w:gridCol w:w="856"/>
        <w:gridCol w:w="960"/>
        <w:gridCol w:w="883"/>
        <w:gridCol w:w="960"/>
      </w:tblGrid>
      <w:tr w:rsidR="004B5ED8" w:rsidRPr="00FE24C0" w:rsidTr="004B5ED8">
        <w:trPr>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ED8" w:rsidRPr="00FE24C0" w:rsidRDefault="004B5ED8"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Dept.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B5ED8" w:rsidRPr="00FE24C0" w:rsidRDefault="004B5ED8"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Department</w:t>
            </w:r>
          </w:p>
        </w:tc>
        <w:tc>
          <w:tcPr>
            <w:tcW w:w="1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B5ED8" w:rsidRPr="00FE24C0" w:rsidRDefault="004B5ED8"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Nº Insured Animals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4B5ED8" w:rsidRPr="00FE24C0" w:rsidRDefault="004B5ED8"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Sum Insured</w:t>
            </w:r>
          </w:p>
        </w:tc>
        <w:tc>
          <w:tcPr>
            <w:tcW w:w="18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5ED8" w:rsidRPr="00FE24C0" w:rsidRDefault="004B5ED8"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Pure Risk Premium</w:t>
            </w:r>
          </w:p>
          <w:p w:rsidR="004B5ED8" w:rsidRPr="00FE24C0" w:rsidRDefault="004B5ED8"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4B5ED8" w:rsidRPr="00FE24C0" w:rsidRDefault="004B5ED8"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Technical Premium</w:t>
            </w:r>
            <w:r w:rsidR="000D6171" w:rsidRPr="00FE24C0">
              <w:rPr>
                <w:rFonts w:eastAsia="Times New Roman"/>
                <w:b/>
                <w:bCs/>
                <w:color w:val="000000"/>
                <w:sz w:val="16"/>
                <w:szCs w:val="16"/>
                <w:lang w:eastAsia="en-GB"/>
              </w:rPr>
              <w:t xml:space="preserve"> [a]</w:t>
            </w:r>
          </w:p>
          <w:p w:rsidR="004B5ED8" w:rsidRPr="00FE24C0" w:rsidRDefault="004B5ED8"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Code</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Cows</w:t>
            </w:r>
          </w:p>
        </w:tc>
        <w:tc>
          <w:tcPr>
            <w:tcW w:w="820"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Heifers</w:t>
            </w:r>
          </w:p>
        </w:tc>
        <w:tc>
          <w:tcPr>
            <w:tcW w:w="1100"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AR$</w:t>
            </w:r>
          </w:p>
        </w:tc>
        <w:tc>
          <w:tcPr>
            <w:tcW w:w="856"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rate</w:t>
            </w:r>
          </w:p>
        </w:tc>
        <w:tc>
          <w:tcPr>
            <w:tcW w:w="960"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AR$</w:t>
            </w:r>
          </w:p>
        </w:tc>
        <w:tc>
          <w:tcPr>
            <w:tcW w:w="883"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rate</w:t>
            </w:r>
          </w:p>
        </w:tc>
        <w:tc>
          <w:tcPr>
            <w:tcW w:w="960" w:type="dxa"/>
            <w:tcBorders>
              <w:top w:val="nil"/>
              <w:left w:val="nil"/>
              <w:bottom w:val="single" w:sz="4" w:space="0" w:color="auto"/>
              <w:right w:val="single" w:sz="4" w:space="0" w:color="auto"/>
            </w:tcBorders>
            <w:shd w:val="clear" w:color="auto" w:fill="auto"/>
            <w:noWrap/>
            <w:vAlign w:val="center"/>
            <w:hideMark/>
          </w:tcPr>
          <w:p w:rsidR="002B1A71" w:rsidRPr="00FE24C0" w:rsidRDefault="002B1A71" w:rsidP="002B1A71">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AR$</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Dpto007</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Adolfo Alsina</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67,896</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29,273</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30,524,274</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8.01%</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2,445,897</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13.39%</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4,086,162</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Dpto056</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Bahía Blanca</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22,913</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14,497</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11,509,123</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7.59%</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873,959</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12.07%</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1,389,533</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Dpto203</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Cnel. Suarez</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73,587</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25,908</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31,560,744</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7.09%</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2,237,225</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11.10%</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3,501,950</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Dpto189</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Dorrego</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46,343</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15,911</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19,770,087</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7.39%</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1,461,624</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10.87%</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2,149,385</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Dpto399</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Guaminí</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45,547</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18,919</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20,288,838</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6.55%</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1,329,103</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9.34%</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1,894,897</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Dpto602</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Patagones</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69,402</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27,012</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30,440,048</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7.53%</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2,292,091</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13.35%</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4,062,581</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Dpto196</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Pringles</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104,960</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33,694</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44,163,666</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7.14%</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3,152,724</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10.76%</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4,752,573</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Dpto651</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Puan</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81,276</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31,265</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35,551,651</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7.97%</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2,834,637</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13.24%</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4,706,645</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Dpto182</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Rosales</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13,454</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3,376</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5,414,330</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7.24%</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391,857</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11.51%</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622,941</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Dpto700</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Saavedra</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55,026</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16,497</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22,847,757</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6.67%</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1,524,971</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10.67%</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2,437,981</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Dpto819</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Tornquist</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57,077</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29,990</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27,068,053</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6.92%</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1,872,527</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10.84%</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2,934,053</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Dpto875</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Villarino</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126,705</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48,179</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55,276,275</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7.96%</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4,398,721</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12.69%</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color w:val="000000"/>
                <w:sz w:val="16"/>
                <w:szCs w:val="16"/>
                <w:lang w:eastAsia="en-GB"/>
              </w:rPr>
            </w:pPr>
            <w:r w:rsidRPr="00FE24C0">
              <w:rPr>
                <w:rFonts w:eastAsia="Times New Roman"/>
                <w:color w:val="000000"/>
                <w:sz w:val="16"/>
                <w:szCs w:val="16"/>
                <w:lang w:eastAsia="en-GB"/>
              </w:rPr>
              <w:t>7,013,125</w:t>
            </w:r>
          </w:p>
        </w:tc>
      </w:tr>
      <w:tr w:rsidR="002B1A71" w:rsidRPr="00FE24C0" w:rsidTr="004B5ED8">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color w:val="000000"/>
                <w:sz w:val="16"/>
                <w:szCs w:val="16"/>
                <w:lang w:eastAsia="en-GB"/>
              </w:rPr>
            </w:pPr>
            <w:r w:rsidRPr="00FE24C0">
              <w:rPr>
                <w:rFonts w:eastAsia="Times New Roman"/>
                <w:color w:val="000000"/>
                <w:sz w:val="16"/>
                <w:szCs w:val="16"/>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Total SWBA</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764,186</w:t>
            </w:r>
          </w:p>
        </w:tc>
        <w:tc>
          <w:tcPr>
            <w:tcW w:w="82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294,521</w:t>
            </w:r>
          </w:p>
        </w:tc>
        <w:tc>
          <w:tcPr>
            <w:tcW w:w="110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334,414,846</w:t>
            </w:r>
          </w:p>
        </w:tc>
        <w:tc>
          <w:tcPr>
            <w:tcW w:w="856"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7.42%</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24,815,335</w:t>
            </w:r>
          </w:p>
        </w:tc>
        <w:tc>
          <w:tcPr>
            <w:tcW w:w="883"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11.83%</w:t>
            </w:r>
          </w:p>
        </w:tc>
        <w:tc>
          <w:tcPr>
            <w:tcW w:w="960" w:type="dxa"/>
            <w:tcBorders>
              <w:top w:val="nil"/>
              <w:left w:val="nil"/>
              <w:bottom w:val="single" w:sz="4" w:space="0" w:color="auto"/>
              <w:right w:val="single" w:sz="4" w:space="0" w:color="auto"/>
            </w:tcBorders>
            <w:shd w:val="clear" w:color="auto" w:fill="auto"/>
            <w:noWrap/>
            <w:vAlign w:val="bottom"/>
            <w:hideMark/>
          </w:tcPr>
          <w:p w:rsidR="002B1A71" w:rsidRPr="00FE24C0" w:rsidRDefault="002B1A71" w:rsidP="002B1A71">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39,551,828</w:t>
            </w:r>
          </w:p>
        </w:tc>
      </w:tr>
    </w:tbl>
    <w:p w:rsidR="00917D33" w:rsidRPr="00FE24C0" w:rsidRDefault="000D6171" w:rsidP="000D6171">
      <w:pPr>
        <w:pStyle w:val="Source"/>
        <w:jc w:val="left"/>
      </w:pPr>
      <w:r w:rsidRPr="00FE24C0">
        <w:t>[</w:t>
      </w:r>
      <w:proofErr w:type="gramStart"/>
      <w:r w:rsidRPr="00FE24C0">
        <w:t>a</w:t>
      </w:r>
      <w:proofErr w:type="gramEnd"/>
      <w:r w:rsidRPr="00FE24C0">
        <w:t>] Total was calculated as the addition of the premiums in each Department. If all the Departments are pooled, there is a reduction in the Technical Premium as a consequence of diversification.</w:t>
      </w:r>
      <w:r w:rsidRPr="00FE24C0">
        <w:br/>
      </w:r>
      <w:r w:rsidR="00917D33" w:rsidRPr="00FE24C0">
        <w:t>Source: Authors’ NDVI Rating Model</w:t>
      </w:r>
    </w:p>
    <w:p w:rsidR="00A705D3" w:rsidRPr="00FE24C0" w:rsidRDefault="007F7FCF" w:rsidP="00D96CE8">
      <w:pPr>
        <w:pStyle w:val="HeadFiguresTablesBoxes"/>
      </w:pPr>
      <w:proofErr w:type="gramStart"/>
      <w:r w:rsidRPr="00FE24C0">
        <w:t>Figure 5.</w:t>
      </w:r>
      <w:r w:rsidR="001E05EF">
        <w:t>10</w:t>
      </w:r>
      <w:r w:rsidRPr="00FE24C0">
        <w:t>.</w:t>
      </w:r>
      <w:proofErr w:type="gramEnd"/>
      <w:r w:rsidRPr="00FE24C0">
        <w:t xml:space="preserve">  Average Cuartel Pure Risk Rates (Loss Costs) and Technical Rates for 1 in 7 Year Payout frequency</w:t>
      </w:r>
    </w:p>
    <w:p w:rsidR="007F7FCF" w:rsidRPr="00FE24C0" w:rsidRDefault="007F7FCF" w:rsidP="00695F04">
      <w:pPr>
        <w:pStyle w:val="APDroughtPara"/>
        <w:numPr>
          <w:ilvl w:val="0"/>
          <w:numId w:val="6"/>
        </w:numPr>
        <w:tabs>
          <w:tab w:val="left" w:pos="720"/>
        </w:tabs>
        <w:spacing w:after="0"/>
        <w:ind w:left="1077" w:hanging="357"/>
        <w:outlineLvl w:val="9"/>
        <w:rPr>
          <w:b/>
          <w:szCs w:val="22"/>
        </w:rPr>
      </w:pPr>
      <w:r w:rsidRPr="00FE24C0">
        <w:rPr>
          <w:b/>
          <w:szCs w:val="22"/>
        </w:rPr>
        <w:t>Pure Risk Rates (% of SI)</w:t>
      </w:r>
      <w:r w:rsidRPr="00FE24C0">
        <w:rPr>
          <w:b/>
          <w:szCs w:val="22"/>
        </w:rPr>
        <w:tab/>
      </w:r>
      <w:r w:rsidRPr="00FE24C0">
        <w:rPr>
          <w:b/>
          <w:szCs w:val="22"/>
        </w:rPr>
        <w:tab/>
        <w:t>(b)  Technical Rates (% of SI)</w:t>
      </w:r>
    </w:p>
    <w:p w:rsidR="00711E7F" w:rsidRPr="00FE24C0" w:rsidRDefault="00130500" w:rsidP="007F7FCF">
      <w:pPr>
        <w:pStyle w:val="APDroughtPara"/>
        <w:numPr>
          <w:ilvl w:val="0"/>
          <w:numId w:val="0"/>
        </w:numPr>
        <w:tabs>
          <w:tab w:val="left" w:pos="720"/>
        </w:tabs>
        <w:spacing w:after="120"/>
        <w:jc w:val="left"/>
        <w:outlineLvl w:val="9"/>
        <w:rPr>
          <w:szCs w:val="22"/>
        </w:rPr>
      </w:pPr>
      <w:r w:rsidRPr="00FE24C0">
        <w:rPr>
          <w:noProof/>
          <w:szCs w:val="22"/>
          <w:lang w:val="es-AR" w:eastAsia="es-AR"/>
        </w:rPr>
        <w:drawing>
          <wp:inline distT="0" distB="0" distL="0" distR="0">
            <wp:extent cx="2466975" cy="3189605"/>
            <wp:effectExtent l="19050" t="0" r="9525" b="0"/>
            <wp:docPr id="33" name="Picture 1" descr="C:\Users\Charles\AppData\Local\Microsoft\Windows\Temporary Internet Files\Content.IE5\M1J16ATY\SOBA_Pérdida Promedio Porcen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AppData\Local\Microsoft\Windows\Temporary Internet Files\Content.IE5\M1J16ATY\SOBA_Pérdida Promedio Porcentual.jpg"/>
                    <pic:cNvPicPr>
                      <a:picLocks noChangeAspect="1" noChangeArrowheads="1"/>
                    </pic:cNvPicPr>
                  </pic:nvPicPr>
                  <pic:blipFill>
                    <a:blip r:embed="rId39" cstate="print"/>
                    <a:srcRect/>
                    <a:stretch>
                      <a:fillRect/>
                    </a:stretch>
                  </pic:blipFill>
                  <pic:spPr bwMode="auto">
                    <a:xfrm>
                      <a:off x="0" y="0"/>
                      <a:ext cx="2466975" cy="3189605"/>
                    </a:xfrm>
                    <a:prstGeom prst="rect">
                      <a:avLst/>
                    </a:prstGeom>
                    <a:noFill/>
                    <a:ln w="9525">
                      <a:noFill/>
                      <a:miter lim="800000"/>
                      <a:headEnd/>
                      <a:tailEnd/>
                    </a:ln>
                  </pic:spPr>
                </pic:pic>
              </a:graphicData>
            </a:graphic>
          </wp:inline>
        </w:drawing>
      </w:r>
      <w:r w:rsidR="00711E7F" w:rsidRPr="00FE24C0">
        <w:rPr>
          <w:rFonts w:eastAsia="MS Mincho"/>
          <w:noProof/>
          <w:lang w:eastAsia="en-GB"/>
        </w:rPr>
        <w:t xml:space="preserve"> </w:t>
      </w:r>
      <w:r w:rsidRPr="00FE24C0">
        <w:rPr>
          <w:noProof/>
          <w:szCs w:val="22"/>
          <w:lang w:val="es-AR" w:eastAsia="es-AR"/>
        </w:rPr>
        <w:drawing>
          <wp:inline distT="0" distB="0" distL="0" distR="0">
            <wp:extent cx="2456180" cy="3189605"/>
            <wp:effectExtent l="19050" t="0" r="1270" b="0"/>
            <wp:docPr id="34" name="Picture 2" descr="C:\Users\Charles\AppData\Local\Microsoft\Windows\Temporary Internet Files\Content.IE5\M1J16ATY\SOBA_Prima Técnica Ponde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AppData\Local\Microsoft\Windows\Temporary Internet Files\Content.IE5\M1J16ATY\SOBA_Prima Técnica Ponderada.jpg"/>
                    <pic:cNvPicPr>
                      <a:picLocks noChangeAspect="1" noChangeArrowheads="1"/>
                    </pic:cNvPicPr>
                  </pic:nvPicPr>
                  <pic:blipFill>
                    <a:blip r:embed="rId40" cstate="print"/>
                    <a:srcRect/>
                    <a:stretch>
                      <a:fillRect/>
                    </a:stretch>
                  </pic:blipFill>
                  <pic:spPr bwMode="auto">
                    <a:xfrm>
                      <a:off x="0" y="0"/>
                      <a:ext cx="2456180" cy="3189605"/>
                    </a:xfrm>
                    <a:prstGeom prst="rect">
                      <a:avLst/>
                    </a:prstGeom>
                    <a:noFill/>
                    <a:ln w="9525">
                      <a:noFill/>
                      <a:miter lim="800000"/>
                      <a:headEnd/>
                      <a:tailEnd/>
                    </a:ln>
                  </pic:spPr>
                </pic:pic>
              </a:graphicData>
            </a:graphic>
          </wp:inline>
        </w:drawing>
      </w:r>
    </w:p>
    <w:p w:rsidR="00711E7F" w:rsidRPr="00FE24C0" w:rsidRDefault="007F7FCF" w:rsidP="000E35EC">
      <w:pPr>
        <w:pStyle w:val="Source"/>
      </w:pPr>
      <w:r w:rsidRPr="00FE24C0">
        <w:t>Source: Authors NDVI Rating Model</w:t>
      </w:r>
    </w:p>
    <w:p w:rsidR="007F7FCF" w:rsidRPr="00FE24C0" w:rsidRDefault="00917D33" w:rsidP="00D96CE8">
      <w:pPr>
        <w:pStyle w:val="HeadFiguresTablesBoxes"/>
      </w:pPr>
      <w:proofErr w:type="gramStart"/>
      <w:r w:rsidRPr="00FE24C0">
        <w:lastRenderedPageBreak/>
        <w:t>Table 5.1</w:t>
      </w:r>
      <w:r w:rsidR="002508FB" w:rsidRPr="00FE24C0">
        <w:t>4</w:t>
      </w:r>
      <w:r w:rsidRPr="00FE24C0">
        <w:t>.</w:t>
      </w:r>
      <w:proofErr w:type="gramEnd"/>
      <w:r w:rsidRPr="00FE24C0">
        <w:t xml:space="preserve">  SWBA NDVI Program </w:t>
      </w:r>
      <w:r w:rsidR="00CE4F8D" w:rsidRPr="00FE24C0">
        <w:t>Total Sum Insured</w:t>
      </w:r>
      <w:r w:rsidRPr="00FE24C0">
        <w:t>, pure risk premium and technical premium for monthly payout frequency 1 in 10 Years</w:t>
      </w:r>
    </w:p>
    <w:tbl>
      <w:tblPr>
        <w:tblW w:w="8255" w:type="dxa"/>
        <w:tblInd w:w="103" w:type="dxa"/>
        <w:tblLook w:val="04A0"/>
      </w:tblPr>
      <w:tblGrid>
        <w:gridCol w:w="776"/>
        <w:gridCol w:w="1080"/>
        <w:gridCol w:w="820"/>
        <w:gridCol w:w="820"/>
        <w:gridCol w:w="1100"/>
        <w:gridCol w:w="856"/>
        <w:gridCol w:w="960"/>
        <w:gridCol w:w="883"/>
        <w:gridCol w:w="960"/>
      </w:tblGrid>
      <w:tr w:rsidR="000E0632" w:rsidRPr="00FE24C0" w:rsidTr="00C95CAB">
        <w:trPr>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0632" w:rsidRPr="00FE24C0" w:rsidRDefault="000E0632"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Dept.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E0632" w:rsidRPr="00FE24C0" w:rsidRDefault="000E0632"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Department</w:t>
            </w:r>
          </w:p>
        </w:tc>
        <w:tc>
          <w:tcPr>
            <w:tcW w:w="1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E0632" w:rsidRPr="00FE24C0" w:rsidRDefault="000E0632"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Nº Insured Animals</w:t>
            </w:r>
          </w:p>
          <w:p w:rsidR="000E0632" w:rsidRPr="00FE24C0" w:rsidRDefault="000E0632"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0E0632" w:rsidRPr="00FE24C0" w:rsidRDefault="000E0632"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Sum Insured</w:t>
            </w:r>
          </w:p>
        </w:tc>
        <w:tc>
          <w:tcPr>
            <w:tcW w:w="18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E0632" w:rsidRPr="00FE24C0" w:rsidRDefault="000E0632"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Pure Risk Premium</w:t>
            </w:r>
          </w:p>
          <w:p w:rsidR="000E0632" w:rsidRPr="00FE24C0" w:rsidRDefault="000E0632"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0E0632" w:rsidRPr="00FE24C0" w:rsidRDefault="000E0632"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Technical Premium</w:t>
            </w:r>
            <w:r w:rsidR="0007007E">
              <w:rPr>
                <w:rFonts w:eastAsia="Times New Roman"/>
                <w:b/>
                <w:bCs/>
                <w:color w:val="000000"/>
                <w:sz w:val="16"/>
                <w:szCs w:val="16"/>
                <w:lang w:eastAsia="en-GB"/>
              </w:rPr>
              <w:t xml:space="preserve"> [a]</w:t>
            </w:r>
          </w:p>
          <w:p w:rsidR="000E0632" w:rsidRPr="00FE24C0" w:rsidRDefault="000E0632"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Code</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 </w:t>
            </w:r>
          </w:p>
        </w:tc>
        <w:tc>
          <w:tcPr>
            <w:tcW w:w="820"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Cows</w:t>
            </w:r>
          </w:p>
        </w:tc>
        <w:tc>
          <w:tcPr>
            <w:tcW w:w="820"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Heifers</w:t>
            </w:r>
          </w:p>
        </w:tc>
        <w:tc>
          <w:tcPr>
            <w:tcW w:w="1100"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AR$</w:t>
            </w:r>
          </w:p>
        </w:tc>
        <w:tc>
          <w:tcPr>
            <w:tcW w:w="856"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rate</w:t>
            </w:r>
          </w:p>
        </w:tc>
        <w:tc>
          <w:tcPr>
            <w:tcW w:w="960"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AR$</w:t>
            </w:r>
          </w:p>
        </w:tc>
        <w:tc>
          <w:tcPr>
            <w:tcW w:w="883"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 rate</w:t>
            </w:r>
          </w:p>
        </w:tc>
        <w:tc>
          <w:tcPr>
            <w:tcW w:w="960" w:type="dxa"/>
            <w:tcBorders>
              <w:top w:val="nil"/>
              <w:left w:val="nil"/>
              <w:bottom w:val="single" w:sz="4" w:space="0" w:color="auto"/>
              <w:right w:val="single" w:sz="4" w:space="0" w:color="auto"/>
            </w:tcBorders>
            <w:shd w:val="clear" w:color="auto" w:fill="auto"/>
            <w:noWrap/>
            <w:vAlign w:val="center"/>
            <w:hideMark/>
          </w:tcPr>
          <w:p w:rsidR="007F7FCF" w:rsidRPr="00FE24C0" w:rsidRDefault="007F7FCF" w:rsidP="003B23B7">
            <w:pPr>
              <w:spacing w:after="0"/>
              <w:jc w:val="center"/>
              <w:rPr>
                <w:rFonts w:eastAsia="Times New Roman"/>
                <w:b/>
                <w:bCs/>
                <w:color w:val="000000"/>
                <w:sz w:val="16"/>
                <w:szCs w:val="16"/>
                <w:lang w:eastAsia="en-GB"/>
              </w:rPr>
            </w:pPr>
            <w:r w:rsidRPr="00FE24C0">
              <w:rPr>
                <w:rFonts w:eastAsia="Times New Roman"/>
                <w:b/>
                <w:bCs/>
                <w:color w:val="000000"/>
                <w:sz w:val="16"/>
                <w:szCs w:val="16"/>
                <w:lang w:eastAsia="en-GB"/>
              </w:rPr>
              <w:t>AR$</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Dpto007</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Adolfo Alsina</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67,896</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29,273</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30,524,274</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5.92%</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1,806,575</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10.43%</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3,183,444</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Dpto056</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Bahía Blanca</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22,913</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14,497</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11,509,123</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5.00%</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575,968</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8.28%</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952,795</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Dpto203</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Cnel. Suarez</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73,587</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25,908</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31,560,744</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4.89%</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1,543,764</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8.03%</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2,533,875</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Dpto189</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Dorrego</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46,343</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15,911</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19,770,087</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5.23%</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1,034,450</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7.96%</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1,572,854</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Dpto399</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Guaminí</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45,547</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18,919</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20,288,838</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4.36%</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883,718</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6.67%</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1,353,778</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Dpto602</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Patagones</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69,402</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27,012</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30,440,048</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4.98%</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1,515,016</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9.28%</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2,825,629</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Dpto196</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Pringles</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104,960</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33,694</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44,163,666</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4.90%</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2,164,209</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7.69%</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3,396,723</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Dpto651</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Puan</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81,276</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31,265</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35,551,651</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5.09%</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1,808,257</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9.00%</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3,198,219</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Dpto182</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Rosales</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13,454</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3,376</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5,414,330</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5.33%</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288,704</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8.80%</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476,445</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Dpto700</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Saavedra</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55,026</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16,497</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22,847,757</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4.21%</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962,874</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7.22%</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1,650,661</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Dpto819</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Tornquist</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57,077</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29,990</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27,068,053</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4.35%</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1,177,529</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7.02%</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1,900,537</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Dpto875</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Villarino</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126,705</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48,179</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55,276,275</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5.32%</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2,939,872</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8.87%</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color w:val="000000"/>
                <w:sz w:val="16"/>
                <w:szCs w:val="16"/>
                <w:lang w:eastAsia="en-GB"/>
              </w:rPr>
            </w:pPr>
            <w:r w:rsidRPr="00FE24C0">
              <w:rPr>
                <w:rFonts w:eastAsia="Times New Roman"/>
                <w:color w:val="000000"/>
                <w:sz w:val="16"/>
                <w:szCs w:val="16"/>
                <w:lang w:eastAsia="en-GB"/>
              </w:rPr>
              <w:t>4,902,253</w:t>
            </w:r>
          </w:p>
        </w:tc>
      </w:tr>
      <w:tr w:rsidR="007F7FCF" w:rsidRPr="00FE24C0" w:rsidTr="00917D33">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color w:val="000000"/>
                <w:sz w:val="16"/>
                <w:szCs w:val="16"/>
                <w:lang w:eastAsia="en-GB"/>
              </w:rPr>
            </w:pPr>
            <w:r w:rsidRPr="00FE24C0">
              <w:rPr>
                <w:rFonts w:eastAsia="Times New Roman"/>
                <w:color w:val="000000"/>
                <w:sz w:val="16"/>
                <w:szCs w:val="16"/>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left"/>
              <w:rPr>
                <w:rFonts w:eastAsia="Times New Roman"/>
                <w:b/>
                <w:bCs/>
                <w:color w:val="000000"/>
                <w:sz w:val="16"/>
                <w:szCs w:val="16"/>
                <w:lang w:eastAsia="en-GB"/>
              </w:rPr>
            </w:pPr>
            <w:r w:rsidRPr="00FE24C0">
              <w:rPr>
                <w:rFonts w:eastAsia="Times New Roman"/>
                <w:b/>
                <w:bCs/>
                <w:color w:val="000000"/>
                <w:sz w:val="16"/>
                <w:szCs w:val="16"/>
                <w:lang w:eastAsia="en-GB"/>
              </w:rPr>
              <w:t>Total SWBA</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764,186</w:t>
            </w:r>
          </w:p>
        </w:tc>
        <w:tc>
          <w:tcPr>
            <w:tcW w:w="82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294,521</w:t>
            </w:r>
          </w:p>
        </w:tc>
        <w:tc>
          <w:tcPr>
            <w:tcW w:w="110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334,414,846</w:t>
            </w:r>
          </w:p>
        </w:tc>
        <w:tc>
          <w:tcPr>
            <w:tcW w:w="856"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4.99%</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16,700,936</w:t>
            </w:r>
          </w:p>
        </w:tc>
        <w:tc>
          <w:tcPr>
            <w:tcW w:w="883"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8.36%</w:t>
            </w:r>
          </w:p>
        </w:tc>
        <w:tc>
          <w:tcPr>
            <w:tcW w:w="960" w:type="dxa"/>
            <w:tcBorders>
              <w:top w:val="nil"/>
              <w:left w:val="nil"/>
              <w:bottom w:val="single" w:sz="4" w:space="0" w:color="auto"/>
              <w:right w:val="single" w:sz="4" w:space="0" w:color="auto"/>
            </w:tcBorders>
            <w:shd w:val="clear" w:color="auto" w:fill="auto"/>
            <w:noWrap/>
            <w:vAlign w:val="bottom"/>
            <w:hideMark/>
          </w:tcPr>
          <w:p w:rsidR="007F7FCF" w:rsidRPr="00FE24C0" w:rsidRDefault="007F7FCF" w:rsidP="003B23B7">
            <w:pPr>
              <w:spacing w:after="0"/>
              <w:jc w:val="right"/>
              <w:rPr>
                <w:rFonts w:eastAsia="Times New Roman"/>
                <w:b/>
                <w:bCs/>
                <w:color w:val="000000"/>
                <w:sz w:val="16"/>
                <w:szCs w:val="16"/>
                <w:lang w:eastAsia="en-GB"/>
              </w:rPr>
            </w:pPr>
            <w:r w:rsidRPr="00FE24C0">
              <w:rPr>
                <w:rFonts w:eastAsia="Times New Roman"/>
                <w:b/>
                <w:bCs/>
                <w:color w:val="000000"/>
                <w:sz w:val="16"/>
                <w:szCs w:val="16"/>
                <w:lang w:eastAsia="en-GB"/>
              </w:rPr>
              <w:t>27,947,213</w:t>
            </w:r>
          </w:p>
        </w:tc>
      </w:tr>
    </w:tbl>
    <w:p w:rsidR="00917D33" w:rsidRPr="00FE24C0" w:rsidRDefault="008761C0" w:rsidP="008761C0">
      <w:pPr>
        <w:pStyle w:val="Source"/>
        <w:jc w:val="left"/>
      </w:pPr>
      <w:r w:rsidRPr="00FE24C0">
        <w:t>[</w:t>
      </w:r>
      <w:proofErr w:type="gramStart"/>
      <w:r w:rsidRPr="00FE24C0">
        <w:t>a</w:t>
      </w:r>
      <w:proofErr w:type="gramEnd"/>
      <w:r w:rsidRPr="00FE24C0">
        <w:t>] Total was calculated as the addition of the premiums in each Department. If all the Departments are pooled, there is a reduction in the Technical Premium as a consequence of diversification</w:t>
      </w:r>
      <w:r w:rsidR="00AA566E">
        <w:t xml:space="preserve"> (see Table 5.1</w:t>
      </w:r>
      <w:r w:rsidR="00F2219B">
        <w:t>5</w:t>
      </w:r>
      <w:r w:rsidR="00AA566E">
        <w:t>)</w:t>
      </w:r>
      <w:r w:rsidRPr="00FE24C0">
        <w:t>.</w:t>
      </w:r>
      <w:r w:rsidRPr="00FE24C0">
        <w:br/>
      </w:r>
      <w:r w:rsidR="00917D33" w:rsidRPr="00FE24C0">
        <w:t>Source: Authors’ NDVI Rating Model</w:t>
      </w:r>
    </w:p>
    <w:p w:rsidR="00C31BA7" w:rsidRPr="008268C0" w:rsidRDefault="00C31BA7" w:rsidP="00C31BA7">
      <w:pPr>
        <w:pStyle w:val="WBReport"/>
        <w:rPr>
          <w:i/>
        </w:rPr>
      </w:pPr>
      <w:r w:rsidRPr="00311A14">
        <w:rPr>
          <w:b/>
          <w:i/>
        </w:rPr>
        <w:t xml:space="preserve">So far the analysis in this Chapter has been conducted assuming each Insured Unit </w:t>
      </w:r>
      <w:r>
        <w:rPr>
          <w:b/>
          <w:i/>
        </w:rPr>
        <w:t xml:space="preserve">(Cuartel) </w:t>
      </w:r>
      <w:r w:rsidRPr="00311A14">
        <w:rPr>
          <w:b/>
          <w:i/>
        </w:rPr>
        <w:t>is a</w:t>
      </w:r>
      <w:r>
        <w:rPr>
          <w:b/>
          <w:i/>
        </w:rPr>
        <w:t>n Individual Risk</w:t>
      </w:r>
      <w:r w:rsidRPr="00311A14">
        <w:t xml:space="preserve">, </w:t>
      </w:r>
      <w:r>
        <w:t xml:space="preserve">and the aggregated technical premiums (by Department and for the whole SWBA) were calculated as a weighted average of the technical premiums of each Cuartel, </w:t>
      </w:r>
      <w:r w:rsidRPr="00311A14">
        <w:t>and consequently the calculated technical rates do not benefit from the effects of diversification which can be gained by pooling risks (Insured Units). It is well known that the risk of a pool is usually less than the sum of the risks that comprise the pool. Although in agricultural insurance covariate risks such as drought are common, some benefits can be achieved from pooling the Insured Units, which will results in a reduction in the technical premiums on this pasture NDVI program</w:t>
      </w:r>
      <w:r>
        <w:t xml:space="preserve">. Table 5.15 shows the technical premium for each Department and for the whole </w:t>
      </w:r>
      <w:r w:rsidR="0082284B">
        <w:t xml:space="preserve">of </w:t>
      </w:r>
      <w:r>
        <w:t>SWBA considering the benefits from diversification, which can be appreciated by comparing the two last columns of the table with Table 5.14.</w:t>
      </w:r>
    </w:p>
    <w:p w:rsidR="008B1279" w:rsidRPr="00311A14" w:rsidRDefault="008B1279" w:rsidP="008B1279">
      <w:pPr>
        <w:pStyle w:val="WBReport"/>
      </w:pPr>
      <w:r w:rsidRPr="00563117">
        <w:rPr>
          <w:b/>
          <w:i/>
        </w:rPr>
        <w:t xml:space="preserve">The final analysis in this </w:t>
      </w:r>
      <w:r>
        <w:rPr>
          <w:b/>
          <w:i/>
        </w:rPr>
        <w:t xml:space="preserve">rating </w:t>
      </w:r>
      <w:r w:rsidRPr="00563117">
        <w:rPr>
          <w:b/>
          <w:i/>
        </w:rPr>
        <w:t xml:space="preserve">section shows the 28 year calculated annual loss costs for </w:t>
      </w:r>
      <w:r>
        <w:rPr>
          <w:b/>
          <w:i/>
        </w:rPr>
        <w:t xml:space="preserve">monthly </w:t>
      </w:r>
      <w:r w:rsidRPr="00563117">
        <w:rPr>
          <w:b/>
          <w:i/>
        </w:rPr>
        <w:t>payout frequencies varying from 7, 10, 12 and 15 years.</w:t>
      </w:r>
      <w:r w:rsidRPr="00FE24C0">
        <w:rPr>
          <w:i/>
        </w:rPr>
        <w:t xml:space="preserve">  </w:t>
      </w:r>
      <w:r w:rsidRPr="00311A14">
        <w:t>The major payout year is 2009 and 1994</w:t>
      </w:r>
      <w:r w:rsidRPr="00F0345D">
        <w:rPr>
          <w:vertAlign w:val="superscript"/>
        </w:rPr>
        <w:footnoteReference w:id="35"/>
      </w:r>
      <w:r w:rsidRPr="00311A14">
        <w:t>, followed by 2008, then 1995, 2003 and 2005 (Figure 5.</w:t>
      </w:r>
      <w:r>
        <w:t>11</w:t>
      </w:r>
      <w:r w:rsidRPr="00311A14">
        <w:t>). The effect of lowering the payout frequency is clearly demonstrated in Figure 5.</w:t>
      </w:r>
      <w:r>
        <w:t>11</w:t>
      </w:r>
      <w:r w:rsidRPr="00311A14">
        <w:t xml:space="preserve">. For the 7-year payout frequency (month by month basis) the peak loss cost is 45.1% (2009) and the long term average loss cost is 7.4%; for the 10 year payout frequency the average loss cost reduces to 5.0% and the peak is 34%; for the 1 in 12 year option the average loss cost is 4.1% and the peak 28.8%; and finally for 1 in 15 year payouts (month by month basis) the peak loss cost reduces to 22.7% and </w:t>
      </w:r>
      <w:r w:rsidRPr="00311A14">
        <w:lastRenderedPageBreak/>
        <w:t xml:space="preserve">the average loss cost is now only 3.1%.  </w:t>
      </w:r>
      <w:r>
        <w:t>With a 1 in 7 year payout frequency, th</w:t>
      </w:r>
      <w:r w:rsidRPr="00311A14">
        <w:t>ere are only three years that are free of any NDVI payouts including 1987 and 2000 and 2001</w:t>
      </w:r>
      <w:r>
        <w:t>, but with the 1 in 15 year payoput frequency, this rises to 5 years with zero payouts including 1986, 1987, 2000, 2001 and finally 2002</w:t>
      </w:r>
      <w:r w:rsidRPr="00311A14">
        <w:t>.</w:t>
      </w:r>
    </w:p>
    <w:p w:rsidR="00C31BA7" w:rsidRPr="00FE24C0" w:rsidRDefault="00C31BA7" w:rsidP="00C31BA7">
      <w:pPr>
        <w:pStyle w:val="HeadFiguresTablesBoxes"/>
      </w:pPr>
      <w:proofErr w:type="gramStart"/>
      <w:r w:rsidRPr="00FE24C0">
        <w:t>Table 5.1</w:t>
      </w:r>
      <w:r>
        <w:t>5</w:t>
      </w:r>
      <w:r w:rsidRPr="00FE24C0">
        <w:t>.</w:t>
      </w:r>
      <w:proofErr w:type="gramEnd"/>
      <w:r w:rsidRPr="00FE24C0">
        <w:t xml:space="preserve"> SWBA NDVI Program Total Sum Insured, pure risk premium and technical premium </w:t>
      </w:r>
      <w:r>
        <w:t xml:space="preserve">considering benefits from diversification </w:t>
      </w:r>
      <w:r w:rsidRPr="00FE24C0">
        <w:t>for monthly payout frequency 1 in 10 Years.</w:t>
      </w:r>
    </w:p>
    <w:p w:rsidR="00C31BA7" w:rsidRDefault="00E2141D" w:rsidP="00C31BA7">
      <w:pPr>
        <w:pStyle w:val="HeadFiguresTablesBoxes"/>
      </w:pPr>
      <w:r>
        <w:rPr>
          <w:noProof/>
          <w:lang w:val="es-AR" w:eastAsia="es-AR"/>
        </w:rPr>
        <w:drawing>
          <wp:inline distT="0" distB="0" distL="0" distR="0">
            <wp:extent cx="4334510" cy="2790825"/>
            <wp:effectExtent l="19050" t="0" r="8890" b="0"/>
            <wp:docPr id="2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r="20997" b="11480"/>
                    <a:stretch>
                      <a:fillRect/>
                    </a:stretch>
                  </pic:blipFill>
                  <pic:spPr bwMode="auto">
                    <a:xfrm>
                      <a:off x="0" y="0"/>
                      <a:ext cx="4334510" cy="2790825"/>
                    </a:xfrm>
                    <a:prstGeom prst="rect">
                      <a:avLst/>
                    </a:prstGeom>
                    <a:noFill/>
                    <a:ln w="9525">
                      <a:noFill/>
                      <a:miter lim="800000"/>
                      <a:headEnd/>
                      <a:tailEnd/>
                    </a:ln>
                  </pic:spPr>
                </pic:pic>
              </a:graphicData>
            </a:graphic>
          </wp:inline>
        </w:drawing>
      </w:r>
    </w:p>
    <w:p w:rsidR="00E2141D" w:rsidRDefault="00E2141D">
      <w:pPr>
        <w:pStyle w:val="WBReport"/>
        <w:numPr>
          <w:ilvl w:val="0"/>
          <w:numId w:val="0"/>
        </w:numPr>
      </w:pPr>
    </w:p>
    <w:p w:rsidR="005C2C62" w:rsidRPr="00FE24C0" w:rsidRDefault="00C51011" w:rsidP="00D96CE8">
      <w:pPr>
        <w:pStyle w:val="HeadFiguresTablesBoxes"/>
      </w:pPr>
      <w:proofErr w:type="gramStart"/>
      <w:r w:rsidRPr="00FE24C0">
        <w:t>Figure 5.</w:t>
      </w:r>
      <w:r w:rsidR="00C46CEF">
        <w:t>11</w:t>
      </w:r>
      <w:r w:rsidR="005C2C62" w:rsidRPr="00FE24C0">
        <w:t>.</w:t>
      </w:r>
      <w:proofErr w:type="gramEnd"/>
      <w:r w:rsidR="005C2C62" w:rsidRPr="00FE24C0">
        <w:t xml:space="preserve"> </w:t>
      </w:r>
      <w:r w:rsidRPr="00FE24C0">
        <w:t xml:space="preserve">SWBA: </w:t>
      </w:r>
      <w:r w:rsidR="005C2C62" w:rsidRPr="00FE24C0">
        <w:t xml:space="preserve">Summary of Annual </w:t>
      </w:r>
      <w:r w:rsidRPr="00FE24C0">
        <w:t>Average Loss Costs for Payout Frequ</w:t>
      </w:r>
      <w:r w:rsidR="005C2C62" w:rsidRPr="00FE24C0">
        <w:t>e</w:t>
      </w:r>
      <w:r w:rsidRPr="00FE24C0">
        <w:t>n</w:t>
      </w:r>
      <w:r w:rsidR="005C2C62" w:rsidRPr="00FE24C0">
        <w:t>cies of 7, 10, 12 and 15 years (month by month payouts)</w:t>
      </w:r>
    </w:p>
    <w:p w:rsidR="005C2C62" w:rsidRPr="00FE24C0" w:rsidRDefault="000C6233" w:rsidP="00B81E27">
      <w:pPr>
        <w:pStyle w:val="APDroughtPara"/>
        <w:numPr>
          <w:ilvl w:val="0"/>
          <w:numId w:val="0"/>
        </w:numPr>
        <w:tabs>
          <w:tab w:val="left" w:pos="720"/>
        </w:tabs>
        <w:spacing w:after="120"/>
        <w:outlineLvl w:val="9"/>
        <w:rPr>
          <w:szCs w:val="22"/>
        </w:rPr>
      </w:pPr>
      <w:r w:rsidRPr="00FE24C0">
        <w:rPr>
          <w:noProof/>
          <w:szCs w:val="22"/>
          <w:lang w:val="es-AR" w:eastAsia="es-AR"/>
        </w:rPr>
        <w:drawing>
          <wp:inline distT="0" distB="0" distL="0" distR="0">
            <wp:extent cx="5490210" cy="2439421"/>
            <wp:effectExtent l="19050" t="0" r="0"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490210" cy="2439421"/>
                    </a:xfrm>
                    <a:prstGeom prst="rect">
                      <a:avLst/>
                    </a:prstGeom>
                    <a:noFill/>
                    <a:ln w="9525">
                      <a:noFill/>
                      <a:miter lim="800000"/>
                      <a:headEnd/>
                      <a:tailEnd/>
                    </a:ln>
                  </pic:spPr>
                </pic:pic>
              </a:graphicData>
            </a:graphic>
          </wp:inline>
        </w:drawing>
      </w:r>
    </w:p>
    <w:p w:rsidR="00B81E27" w:rsidRPr="00FE24C0" w:rsidRDefault="00B81E27" w:rsidP="000E35EC">
      <w:pPr>
        <w:pStyle w:val="Source"/>
      </w:pPr>
      <w:r w:rsidRPr="00FE24C0">
        <w:t>Source: Authors NDVI Rating Model</w:t>
      </w:r>
    </w:p>
    <w:p w:rsidR="008B1279" w:rsidRDefault="008B1279" w:rsidP="00563117">
      <w:pPr>
        <w:rPr>
          <w:b/>
        </w:rPr>
      </w:pPr>
    </w:p>
    <w:p w:rsidR="005C2C62" w:rsidRPr="00563117" w:rsidRDefault="005C2C62" w:rsidP="00563117">
      <w:pPr>
        <w:rPr>
          <w:b/>
        </w:rPr>
      </w:pPr>
      <w:r w:rsidRPr="00563117">
        <w:rPr>
          <w:b/>
        </w:rPr>
        <w:lastRenderedPageBreak/>
        <w:t>Indicative Commercial Premium Rates</w:t>
      </w:r>
    </w:p>
    <w:p w:rsidR="00FE7852" w:rsidRDefault="00B26D79" w:rsidP="00311A14">
      <w:pPr>
        <w:pStyle w:val="WBReport"/>
      </w:pPr>
      <w:r w:rsidRPr="00563117">
        <w:rPr>
          <w:b/>
          <w:i/>
        </w:rPr>
        <w:t>For the purpose of providing Government policy makers in Argentina with guidance on the possible financial costs of the proposed macro-level NDVI program for cattle producers in SWBA, some indicative commercial premiums have been calculated</w:t>
      </w:r>
      <w:r w:rsidR="001A24FC" w:rsidRPr="00563117">
        <w:rPr>
          <w:b/>
          <w:i/>
        </w:rPr>
        <w:t>.</w:t>
      </w:r>
      <w:r w:rsidR="001A24FC" w:rsidRPr="00FE24C0">
        <w:rPr>
          <w:i/>
        </w:rPr>
        <w:t xml:space="preserve"> </w:t>
      </w:r>
      <w:r w:rsidR="001A24FC" w:rsidRPr="00311A14">
        <w:t xml:space="preserve">It is stressed, however, that in practice the Insurance Companies that underwrite this program will be responsible doe deciding on the final commercial premium rates that are charged on this NDVI program. In deriving commercial premium rates the factors that need to be taken into account include: (i) business acquisition costs or the service usually provided by a retail broker in Argentina; (ii) the insurance company’s administration and operating (A&amp;O) expenses including internal costs and external operating costs, for example the appointment of a third party operator to manage the access to and analysis of NDVI data for the Insured Cuartels, (iii) The Insurer’s reasonable profit expectations, (iv) reinsurer’s expenses and finally (v) local stamp duty and Value Added Taxes (termed IVA in Spanish) on insurance premiums. Under the proposed macro-level NDVI insurance program where Federal and or Provincial Government is the proposed insured, there should be no need to incur business acquisition costs and therefore brokerage costs can be saved. The </w:t>
      </w:r>
      <w:r w:rsidR="00F908B0">
        <w:t>I</w:t>
      </w:r>
      <w:r w:rsidR="001A24FC" w:rsidRPr="00311A14">
        <w:t xml:space="preserve">nsurers’ A&amp;O expenses will also be reduced on a macro policy where a single policy is issued to government and where there are no marketing costs. </w:t>
      </w:r>
      <w:r w:rsidR="00F908B0">
        <w:t xml:space="preserve">The Insurers’ main start-up A&amp;O costs will include the contracting of a third party NDVI operator and in establishing registers of the beneficiaries and in establishing procedures for making payouts to the beneficiaries. </w:t>
      </w:r>
      <w:r w:rsidR="001A24FC" w:rsidRPr="00311A14">
        <w:t>In Argentina, Value Added Taxes on insurance premiums can be very high with an average of about 23%</w:t>
      </w:r>
      <w:r w:rsidR="00FE7852">
        <w:t xml:space="preserve"> (range 21% to 26%)</w:t>
      </w:r>
      <w:r w:rsidR="001A24FC" w:rsidRPr="00311A14">
        <w:t xml:space="preserve"> added to the insurance premium. It may, however, be that this macro-level policy Government can be exempted from this tax on the NDVI premium it pays. </w:t>
      </w:r>
    </w:p>
    <w:p w:rsidR="000C6233" w:rsidRPr="00FE24C0" w:rsidRDefault="00F0345D" w:rsidP="00311A14">
      <w:pPr>
        <w:pStyle w:val="WBReport"/>
      </w:pPr>
      <w:r w:rsidRPr="00F0345D">
        <w:rPr>
          <w:b/>
          <w:i/>
        </w:rPr>
        <w:t>Given the above identified cost savings, for the purposes of this illustrative analysis a simple load factor of 1.25 has been applied to the calculated technical premium rates</w:t>
      </w:r>
      <w:r w:rsidR="00FE7852">
        <w:rPr>
          <w:b/>
          <w:i/>
        </w:rPr>
        <w:t xml:space="preserve"> to generate illustrative commercial premium rates.  </w:t>
      </w:r>
      <w:r w:rsidRPr="00F0345D">
        <w:t>T</w:t>
      </w:r>
      <w:r w:rsidR="001A24FC" w:rsidRPr="00311A14">
        <w:t>he results of this analysis are summarized in Table 5.1</w:t>
      </w:r>
      <w:r w:rsidR="00C31BA7">
        <w:t>6</w:t>
      </w:r>
      <w:r w:rsidR="001A24FC" w:rsidRPr="00311A14">
        <w:t xml:space="preserve"> for different monthly payout frequencies of 1 in 7, 10, 12 and 15 years. For an NDVI program with a high frequency of monthly payouts of 1 in 7 years, the average indicative commercial premium rate is high at 13.85% equivalent to a total commercial premium of AR$ 46.3 million.  However, if the monthly payout frequency is amended to 1 in 15 years, the average indicative commercial premium rate would be reduced to 6.10% with corresponding total indicative commercial premium of AR$ 20.4 million. While the 1 in 15 year option appears attractive to Government from a fiscal viewpoint because of the much lower premium, such a low frequency of payouts may not necessarily meet the pasture risk transfer requirements of the cattle producers in SWBA. As such there is a trade-off between the premium costs of the NDVI index cover and the level of financial protection against drought afforded to livestock producers in SWBA.</w:t>
      </w:r>
      <w:r w:rsidR="00FE7852">
        <w:t xml:space="preserve"> As noted above, final commercial premium rates will be sets by local insurers and their reinsurers.</w:t>
      </w:r>
    </w:p>
    <w:p w:rsidR="007F7FCF" w:rsidRPr="00FE24C0" w:rsidRDefault="0034149B" w:rsidP="00D96CE8">
      <w:pPr>
        <w:pStyle w:val="HeadFiguresTablesBoxes"/>
      </w:pPr>
      <w:proofErr w:type="gramStart"/>
      <w:r w:rsidRPr="00FE24C0">
        <w:t>Table 5.1</w:t>
      </w:r>
      <w:r w:rsidR="00C31BA7">
        <w:t>6</w:t>
      </w:r>
      <w:r w:rsidRPr="00FE24C0">
        <w:t>.</w:t>
      </w:r>
      <w:proofErr w:type="gramEnd"/>
      <w:r w:rsidRPr="00FE24C0">
        <w:t xml:space="preserve"> SWBA NDVI Insurance Program: Indicative Commercial Premium Rates</w:t>
      </w:r>
      <w:r w:rsidR="0048235C" w:rsidRPr="00FE24C0">
        <w:t xml:space="preserve"> (Calculated Technical Rate Plus loading 25% to derive Commercial Rate)</w:t>
      </w:r>
    </w:p>
    <w:tbl>
      <w:tblPr>
        <w:tblW w:w="8227" w:type="dxa"/>
        <w:tblInd w:w="103" w:type="dxa"/>
        <w:tblLook w:val="04A0"/>
      </w:tblPr>
      <w:tblGrid>
        <w:gridCol w:w="1281"/>
        <w:gridCol w:w="959"/>
        <w:gridCol w:w="1300"/>
        <w:gridCol w:w="926"/>
        <w:gridCol w:w="1280"/>
        <w:gridCol w:w="1106"/>
        <w:gridCol w:w="1375"/>
      </w:tblGrid>
      <w:tr w:rsidR="008761C0" w:rsidRPr="008B1279" w:rsidTr="0052646B">
        <w:trPr>
          <w:trHeight w:val="720"/>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Payout Frequency (Years)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Pure Risk Rate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Pure Risk Premium (AR$)</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Technical Rate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Technical Premium (AR$)</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Indic. Commercial Rate (%</w:t>
            </w:r>
            <w:proofErr w:type="gramStart"/>
            <w:r w:rsidRPr="008B1279">
              <w:rPr>
                <w:rFonts w:eastAsia="Times New Roman"/>
                <w:color w:val="000000"/>
                <w:sz w:val="16"/>
                <w:szCs w:val="16"/>
                <w:lang w:eastAsia="en-GB"/>
              </w:rPr>
              <w:t>)*</w:t>
            </w:r>
            <w:proofErr w:type="gramEnd"/>
            <w:r w:rsidRPr="008B1279">
              <w:rPr>
                <w:rFonts w:eastAsia="Times New Roman"/>
                <w:color w:val="000000"/>
                <w:sz w:val="16"/>
                <w:szCs w:val="16"/>
                <w:lang w:eastAsia="en-GB"/>
              </w:rPr>
              <w:t>*</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Indic. Commercial Premium (AR$)**</w:t>
            </w:r>
          </w:p>
        </w:tc>
      </w:tr>
      <w:tr w:rsidR="008761C0" w:rsidRPr="008B1279"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1 in 7</w:t>
            </w:r>
          </w:p>
        </w:tc>
        <w:tc>
          <w:tcPr>
            <w:tcW w:w="959"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7.42%</w:t>
            </w:r>
          </w:p>
        </w:tc>
        <w:tc>
          <w:tcPr>
            <w:tcW w:w="130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24,815,335</w:t>
            </w:r>
          </w:p>
        </w:tc>
        <w:tc>
          <w:tcPr>
            <w:tcW w:w="92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11.08%</w:t>
            </w:r>
          </w:p>
        </w:tc>
        <w:tc>
          <w:tcPr>
            <w:tcW w:w="128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 xml:space="preserve"> 37,055,461</w:t>
            </w:r>
          </w:p>
        </w:tc>
        <w:tc>
          <w:tcPr>
            <w:tcW w:w="110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13.85%</w:t>
            </w:r>
          </w:p>
        </w:tc>
        <w:tc>
          <w:tcPr>
            <w:tcW w:w="1375"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 xml:space="preserve"> 46,319,326</w:t>
            </w:r>
          </w:p>
        </w:tc>
      </w:tr>
      <w:tr w:rsidR="008761C0" w:rsidRPr="008B1279"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1 in 10</w:t>
            </w:r>
          </w:p>
        </w:tc>
        <w:tc>
          <w:tcPr>
            <w:tcW w:w="959"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4.99%</w:t>
            </w:r>
          </w:p>
        </w:tc>
        <w:tc>
          <w:tcPr>
            <w:tcW w:w="130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16,700,936</w:t>
            </w:r>
          </w:p>
        </w:tc>
        <w:tc>
          <w:tcPr>
            <w:tcW w:w="92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7.73%</w:t>
            </w:r>
          </w:p>
        </w:tc>
        <w:tc>
          <w:tcPr>
            <w:tcW w:w="128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25,834,025</w:t>
            </w:r>
          </w:p>
        </w:tc>
        <w:tc>
          <w:tcPr>
            <w:tcW w:w="110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9.66%</w:t>
            </w:r>
          </w:p>
        </w:tc>
        <w:tc>
          <w:tcPr>
            <w:tcW w:w="1375"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32,292,531</w:t>
            </w:r>
          </w:p>
        </w:tc>
      </w:tr>
      <w:tr w:rsidR="008761C0" w:rsidRPr="008B1279"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1 in 12</w:t>
            </w:r>
          </w:p>
        </w:tc>
        <w:tc>
          <w:tcPr>
            <w:tcW w:w="959"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4.05%</w:t>
            </w:r>
          </w:p>
        </w:tc>
        <w:tc>
          <w:tcPr>
            <w:tcW w:w="130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13,557,257</w:t>
            </w:r>
          </w:p>
        </w:tc>
        <w:tc>
          <w:tcPr>
            <w:tcW w:w="92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6.36%</w:t>
            </w:r>
          </w:p>
        </w:tc>
        <w:tc>
          <w:tcPr>
            <w:tcW w:w="128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21,259,706</w:t>
            </w:r>
          </w:p>
        </w:tc>
        <w:tc>
          <w:tcPr>
            <w:tcW w:w="110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7.95%</w:t>
            </w:r>
          </w:p>
        </w:tc>
        <w:tc>
          <w:tcPr>
            <w:tcW w:w="1375"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26,574,632</w:t>
            </w:r>
          </w:p>
        </w:tc>
      </w:tr>
      <w:tr w:rsidR="008761C0" w:rsidRPr="008B1279"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8761C0" w:rsidRPr="008B1279" w:rsidRDefault="008761C0" w:rsidP="0052646B">
            <w:pPr>
              <w:spacing w:after="0"/>
              <w:jc w:val="center"/>
              <w:rPr>
                <w:rFonts w:eastAsia="Times New Roman"/>
                <w:color w:val="000000"/>
                <w:sz w:val="16"/>
                <w:szCs w:val="16"/>
                <w:lang w:eastAsia="en-GB"/>
              </w:rPr>
            </w:pPr>
            <w:r w:rsidRPr="008B1279">
              <w:rPr>
                <w:rFonts w:eastAsia="Times New Roman"/>
                <w:color w:val="000000"/>
                <w:sz w:val="16"/>
                <w:szCs w:val="16"/>
                <w:lang w:eastAsia="en-GB"/>
              </w:rPr>
              <w:t>1 in 15</w:t>
            </w:r>
          </w:p>
        </w:tc>
        <w:tc>
          <w:tcPr>
            <w:tcW w:w="959"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3.07%</w:t>
            </w:r>
          </w:p>
        </w:tc>
        <w:tc>
          <w:tcPr>
            <w:tcW w:w="130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10,265,067</w:t>
            </w:r>
          </w:p>
        </w:tc>
        <w:tc>
          <w:tcPr>
            <w:tcW w:w="92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4.88%</w:t>
            </w:r>
          </w:p>
        </w:tc>
        <w:tc>
          <w:tcPr>
            <w:tcW w:w="1280"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16,316,646</w:t>
            </w:r>
          </w:p>
        </w:tc>
        <w:tc>
          <w:tcPr>
            <w:tcW w:w="1106"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6.10%</w:t>
            </w:r>
          </w:p>
        </w:tc>
        <w:tc>
          <w:tcPr>
            <w:tcW w:w="1375" w:type="dxa"/>
            <w:tcBorders>
              <w:top w:val="nil"/>
              <w:left w:val="nil"/>
              <w:bottom w:val="single" w:sz="4" w:space="0" w:color="auto"/>
              <w:right w:val="single" w:sz="4" w:space="0" w:color="auto"/>
            </w:tcBorders>
            <w:shd w:val="clear" w:color="auto" w:fill="auto"/>
            <w:noWrap/>
            <w:vAlign w:val="bottom"/>
            <w:hideMark/>
          </w:tcPr>
          <w:p w:rsidR="008761C0" w:rsidRPr="008B1279" w:rsidRDefault="008761C0" w:rsidP="0052646B">
            <w:pPr>
              <w:spacing w:after="0"/>
              <w:jc w:val="right"/>
              <w:rPr>
                <w:rFonts w:eastAsia="Times New Roman"/>
                <w:color w:val="000000"/>
                <w:sz w:val="16"/>
                <w:szCs w:val="16"/>
                <w:lang w:eastAsia="en-GB"/>
              </w:rPr>
            </w:pPr>
            <w:r w:rsidRPr="008B1279">
              <w:rPr>
                <w:rFonts w:eastAsia="Times New Roman"/>
                <w:color w:val="000000"/>
                <w:sz w:val="16"/>
                <w:szCs w:val="16"/>
                <w:lang w:eastAsia="en-GB"/>
              </w:rPr>
              <w:t>20,395,808</w:t>
            </w:r>
          </w:p>
        </w:tc>
      </w:tr>
    </w:tbl>
    <w:p w:rsidR="006247F2" w:rsidRPr="00FE24C0" w:rsidRDefault="006247F2" w:rsidP="00695F04">
      <w:pPr>
        <w:pStyle w:val="Source"/>
        <w:spacing w:after="240"/>
      </w:pPr>
      <w:r w:rsidRPr="00FE24C0">
        <w:t>Source: Authors’ NDVI Rating Model</w:t>
      </w:r>
    </w:p>
    <w:p w:rsidR="000C6233" w:rsidRPr="00311A14" w:rsidRDefault="006247F2" w:rsidP="00311A14">
      <w:pPr>
        <w:pStyle w:val="WBReport"/>
      </w:pPr>
      <w:r w:rsidRPr="00563117">
        <w:rPr>
          <w:b/>
          <w:i/>
        </w:rPr>
        <w:lastRenderedPageBreak/>
        <w:t xml:space="preserve">An </w:t>
      </w:r>
      <w:r w:rsidR="00C96393" w:rsidRPr="00563117">
        <w:rPr>
          <w:b/>
          <w:i/>
        </w:rPr>
        <w:t>“</w:t>
      </w:r>
      <w:r w:rsidRPr="00563117">
        <w:rPr>
          <w:b/>
          <w:i/>
        </w:rPr>
        <w:t>As If analysis</w:t>
      </w:r>
      <w:r w:rsidR="00C96393" w:rsidRPr="00563117">
        <w:rPr>
          <w:b/>
          <w:i/>
        </w:rPr>
        <w:t>”</w:t>
      </w:r>
      <w:r w:rsidRPr="00563117">
        <w:rPr>
          <w:b/>
          <w:i/>
        </w:rPr>
        <w:t xml:space="preserve"> has been conducted </w:t>
      </w:r>
      <w:r w:rsidR="0076659A" w:rsidRPr="00563117">
        <w:rPr>
          <w:b/>
          <w:i/>
        </w:rPr>
        <w:t xml:space="preserve">on the </w:t>
      </w:r>
      <w:r w:rsidRPr="00563117">
        <w:rPr>
          <w:b/>
          <w:i/>
        </w:rPr>
        <w:t>loss ratio</w:t>
      </w:r>
      <w:r w:rsidR="0076659A" w:rsidRPr="00563117">
        <w:rPr>
          <w:b/>
          <w:i/>
        </w:rPr>
        <w:t>s</w:t>
      </w:r>
      <w:r w:rsidRPr="00563117">
        <w:rPr>
          <w:b/>
          <w:i/>
        </w:rPr>
        <w:t xml:space="preserve"> on the NDVI program over the past 28 years by comparing the calculated claims payouts with the indicative commercial premiums.</w:t>
      </w:r>
      <w:r w:rsidRPr="00FE24C0">
        <w:rPr>
          <w:i/>
        </w:rPr>
        <w:t xml:space="preserve"> </w:t>
      </w:r>
      <w:r w:rsidR="001A24FC" w:rsidRPr="00311A14">
        <w:t>The results of this analysis are presented in Figure 5.</w:t>
      </w:r>
      <w:r w:rsidR="00FB1895" w:rsidRPr="00311A14">
        <w:t>1</w:t>
      </w:r>
      <w:r w:rsidR="00FB1895">
        <w:t>2</w:t>
      </w:r>
      <w:r w:rsidR="00FB1895" w:rsidRPr="00311A14">
        <w:t xml:space="preserve"> </w:t>
      </w:r>
      <w:r w:rsidR="001A24FC" w:rsidRPr="00311A14">
        <w:t xml:space="preserve">for the 1 in 10 year payout option (month by month basis). There would have been </w:t>
      </w:r>
      <w:r w:rsidR="007E4949" w:rsidRPr="00311A14">
        <w:t>two major</w:t>
      </w:r>
      <w:r w:rsidR="001A24FC" w:rsidRPr="00311A14">
        <w:t xml:space="preserve"> losses over this period in 1994 and again in 2009</w:t>
      </w:r>
      <w:r w:rsidR="00F0345D" w:rsidRPr="00F0345D">
        <w:rPr>
          <w:vertAlign w:val="superscript"/>
        </w:rPr>
        <w:footnoteReference w:id="36"/>
      </w:r>
      <w:r w:rsidR="001A24FC" w:rsidRPr="00311A14">
        <w:t xml:space="preserve"> with loss ratios of 326%: this compares with the overall long-term average loss ratio of 47.8%. The loss ratios for the other payback options are almost identical to the 1 in 10 year option on account of the model construction where higher payout frequencies and values are matched by corresponding rate increases. The corresponding long-term average loss ratios are 50.2% (1 in 7 year payouts), 46.8% (1 in 12 year payouts) and 45.4% (1 in 15 </w:t>
      </w:r>
      <w:proofErr w:type="gramStart"/>
      <w:r w:rsidR="001A24FC" w:rsidRPr="00311A14">
        <w:t>years</w:t>
      </w:r>
      <w:proofErr w:type="gramEnd"/>
      <w:r w:rsidR="001A24FC" w:rsidRPr="00311A14">
        <w:t xml:space="preserve"> payouts)</w:t>
      </w:r>
      <w:r w:rsidR="00FB1895">
        <w:t>.</w:t>
      </w:r>
      <w:r w:rsidR="001A24FC" w:rsidRPr="00311A14">
        <w:t xml:space="preserve"> </w:t>
      </w:r>
    </w:p>
    <w:p w:rsidR="006247F2" w:rsidRPr="00FE24C0" w:rsidRDefault="006247F2" w:rsidP="00695F04">
      <w:pPr>
        <w:pStyle w:val="HeadFiguresTablesBoxes"/>
        <w:spacing w:after="60"/>
      </w:pPr>
      <w:proofErr w:type="gramStart"/>
      <w:r w:rsidRPr="00FE24C0">
        <w:t>Figure 5.</w:t>
      </w:r>
      <w:r w:rsidR="00FB1895" w:rsidRPr="00FE24C0">
        <w:t>1</w:t>
      </w:r>
      <w:r w:rsidR="00FB1895">
        <w:t>2</w:t>
      </w:r>
      <w:r w:rsidRPr="00FE24C0">
        <w:t>.</w:t>
      </w:r>
      <w:proofErr w:type="gramEnd"/>
      <w:r w:rsidRPr="00FE24C0">
        <w:t xml:space="preserve"> As If Long-term loss ratio, NDVI Program for 1 in 1</w:t>
      </w:r>
      <w:r w:rsidR="0043201A" w:rsidRPr="00FE24C0">
        <w:t>0</w:t>
      </w:r>
      <w:r w:rsidRPr="00FE24C0">
        <w:t xml:space="preserve"> year payout Option</w:t>
      </w:r>
    </w:p>
    <w:p w:rsidR="006247F2" w:rsidRPr="00FE24C0" w:rsidRDefault="007D71FD" w:rsidP="00695F04">
      <w:pPr>
        <w:spacing w:after="0"/>
      </w:pPr>
      <w:r w:rsidRPr="00FE24C0">
        <w:rPr>
          <w:noProof/>
          <w:lang w:val="es-AR" w:eastAsia="es-AR"/>
        </w:rPr>
        <w:drawing>
          <wp:inline distT="0" distB="0" distL="0" distR="0">
            <wp:extent cx="5254699" cy="2700670"/>
            <wp:effectExtent l="19050" t="0" r="3101"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261853" cy="2704347"/>
                    </a:xfrm>
                    <a:prstGeom prst="rect">
                      <a:avLst/>
                    </a:prstGeom>
                    <a:noFill/>
                    <a:ln w="9525">
                      <a:noFill/>
                      <a:miter lim="800000"/>
                      <a:headEnd/>
                      <a:tailEnd/>
                    </a:ln>
                  </pic:spPr>
                </pic:pic>
              </a:graphicData>
            </a:graphic>
          </wp:inline>
        </w:drawing>
      </w:r>
    </w:p>
    <w:p w:rsidR="006247F2" w:rsidRPr="00FE24C0" w:rsidRDefault="006247F2" w:rsidP="00695F04">
      <w:pPr>
        <w:pStyle w:val="Source"/>
        <w:spacing w:after="240"/>
      </w:pPr>
      <w:r w:rsidRPr="00FE24C0">
        <w:t>Source: Authors’ NDVI Rating Model</w:t>
      </w:r>
    </w:p>
    <w:p w:rsidR="00E2141D" w:rsidRDefault="00E2141D">
      <w:pPr>
        <w:pStyle w:val="WBReport"/>
        <w:numPr>
          <w:ilvl w:val="0"/>
          <w:numId w:val="0"/>
        </w:numPr>
        <w:rPr>
          <w:i/>
        </w:rPr>
      </w:pPr>
    </w:p>
    <w:p w:rsidR="00A705D3" w:rsidRPr="00FE24C0" w:rsidRDefault="001A24FC" w:rsidP="00563117">
      <w:pPr>
        <w:pStyle w:val="Subttulo"/>
      </w:pPr>
      <w:bookmarkStart w:id="37" w:name="_Toc345794275"/>
      <w:r w:rsidRPr="00FE24C0">
        <w:t>Probable Maximum Loss Estimation for SWBA NDVI Program</w:t>
      </w:r>
      <w:bookmarkEnd w:id="37"/>
      <w:r w:rsidRPr="00FE24C0">
        <w:t xml:space="preserve"> </w:t>
      </w:r>
    </w:p>
    <w:p w:rsidR="000C6233" w:rsidRPr="00563117" w:rsidRDefault="00B04780" w:rsidP="00563117">
      <w:pPr>
        <w:pStyle w:val="WBReport"/>
      </w:pPr>
      <w:r w:rsidRPr="00563117">
        <w:rPr>
          <w:b/>
          <w:i/>
        </w:rPr>
        <w:t>For the purposes of risk layering and deciding on the prudent risk retention and risk transfer/reinsurance strategy it is very important to calculate the Maximum Probable Loss (PML) that could be expected for a defined return period.</w:t>
      </w:r>
      <w:r w:rsidRPr="00FE24C0">
        <w:rPr>
          <w:i/>
        </w:rPr>
        <w:t xml:space="preserve">  </w:t>
      </w:r>
      <w:r w:rsidR="001A24FC" w:rsidRPr="00311A14">
        <w:t xml:space="preserve">The worst loss experienced over the 28 years for which NDVI data is available was in 2009 with a 45.1% loss cost </w:t>
      </w:r>
      <w:r w:rsidR="00E00479">
        <w:t xml:space="preserve">for a </w:t>
      </w:r>
      <w:r w:rsidR="007C2731">
        <w:t xml:space="preserve">payout </w:t>
      </w:r>
      <w:r w:rsidR="00E00479">
        <w:t xml:space="preserve">frequency of 1 in 7 years (month by month basis) </w:t>
      </w:r>
      <w:r w:rsidR="001A24FC" w:rsidRPr="00311A14">
        <w:t xml:space="preserve">equivalent to an insured payout of AR$ 150.8 million on the TSI of 334.4 million. While 2009 was a very severe loss year, it is possible that considerably higher losses which have not been experienced over the past 28 </w:t>
      </w:r>
      <w:proofErr w:type="gramStart"/>
      <w:r w:rsidR="001A24FC" w:rsidRPr="00311A14">
        <w:t>years,</w:t>
      </w:r>
      <w:proofErr w:type="gramEnd"/>
      <w:r w:rsidR="001A24FC" w:rsidRPr="00311A14">
        <w:t xml:space="preserve"> may occur in future. In order to assess their maximum expected losses and to set their risk retention and risk transfer and reinsurance strategies, it is common for underwriters to use appropriate calculations of the Maximum Probable Loss (PML) that they might incur for a given return period of say 1 in 100 years or 1 in 250 years if it is necessary to be more conservative.</w:t>
      </w:r>
    </w:p>
    <w:p w:rsidR="005055E3" w:rsidRPr="008E5C9E" w:rsidRDefault="005055E3" w:rsidP="005055E3">
      <w:pPr>
        <w:pStyle w:val="WBReport"/>
        <w:rPr>
          <w:b/>
        </w:rPr>
      </w:pPr>
      <w:r w:rsidRPr="005055E3">
        <w:rPr>
          <w:b/>
          <w:i/>
        </w:rPr>
        <w:lastRenderedPageBreak/>
        <w:t>In order to estimate the PML, the data of the worst historical losses have been fitted to different parametric probability distribution functions, namely: Gamma, Log-Normal, Log-Logistic and Weibull. Then, 10,000 simulated losses (years) have been generated using the best fit and the PML was calculated from the simulated distribution.</w:t>
      </w:r>
      <w:r w:rsidRPr="008E5C9E">
        <w:t xml:space="preserve"> </w:t>
      </w:r>
      <w:r w:rsidR="007C2731">
        <w:t>Al</w:t>
      </w:r>
      <w:r w:rsidRPr="008E5C9E">
        <w:t xml:space="preserve">though </w:t>
      </w:r>
      <w:r w:rsidR="007C2731">
        <w:t>a N</w:t>
      </w:r>
      <w:r w:rsidR="007C2731" w:rsidRPr="008E5C9E">
        <w:t xml:space="preserve">ormal distribution has been proposed </w:t>
      </w:r>
      <w:r w:rsidRPr="008E5C9E">
        <w:t xml:space="preserve">to </w:t>
      </w:r>
      <w:r>
        <w:t>esti</w:t>
      </w:r>
      <w:r w:rsidRPr="008E5C9E">
        <w:t xml:space="preserve">mate the average historical loss </w:t>
      </w:r>
      <w:r w:rsidR="007C2731">
        <w:t xml:space="preserve">cost rate </w:t>
      </w:r>
      <w:r w:rsidRPr="008E5C9E">
        <w:t xml:space="preserve">(see Annex 2), this parametric distribution was not used to </w:t>
      </w:r>
      <w:r>
        <w:t>esti</w:t>
      </w:r>
      <w:r w:rsidRPr="008E5C9E">
        <w:t xml:space="preserve">mate </w:t>
      </w:r>
      <w:r>
        <w:t xml:space="preserve">the PML because the aim is </w:t>
      </w:r>
      <w:r w:rsidRPr="008E5C9E">
        <w:t>fit</w:t>
      </w:r>
      <w:r>
        <w:t>ting</w:t>
      </w:r>
      <w:r w:rsidRPr="008E5C9E">
        <w:t xml:space="preserve"> the tail of the distribution, and a Normal distribution would </w:t>
      </w:r>
      <w:r w:rsidR="007C2731">
        <w:t>under</w:t>
      </w:r>
      <w:r>
        <w:t>esti</w:t>
      </w:r>
      <w:r w:rsidRPr="008E5C9E">
        <w:t>mate the extreme loss values.</w:t>
      </w:r>
      <w:r>
        <w:t xml:space="preserve"> Because the objective is to fit the tail of the distribution, only the worst 50% </w:t>
      </w:r>
      <w:r w:rsidR="007C2731">
        <w:t xml:space="preserve">of </w:t>
      </w:r>
      <w:r>
        <w:t>years were used to calibrate the parametric functions. The steps followed to estimate the PML were: (i) to calculate the historical payouts, (ii) to discard the lower payouts, preserving only the 14 years with major losses, (iii) to fit this data to the four parametric distribution functions above mentioned using the software @Risk, (iv) to perform 10,000 simulations (years) of losses, and (v) to estimate the PML according to the return period selected as a percentile of the simulated values. The Gamma distribution function generated the best fit and was used to simulate the losses and to estimate the PML.</w:t>
      </w:r>
    </w:p>
    <w:p w:rsidR="000C6233" w:rsidRDefault="005055E3" w:rsidP="00311A14">
      <w:pPr>
        <w:pStyle w:val="WBReport"/>
      </w:pPr>
      <w:r w:rsidRPr="005055E3">
        <w:rPr>
          <w:b/>
          <w:i/>
        </w:rPr>
        <w:t>The PML estimated through a Gamma distribution fitted to the losses calculated using the assumptions from Table 5.7 (i.e. payout frequency 1 in 7 years -month by month-) and considering a return period of 100 years is AR$ 258 million, or 77% of the Total Sum Insured</w:t>
      </w:r>
      <w:r w:rsidR="007C2731">
        <w:rPr>
          <w:b/>
          <w:i/>
        </w:rPr>
        <w:t xml:space="preserve"> (TSI)</w:t>
      </w:r>
      <w:r w:rsidRPr="005055E3">
        <w:rPr>
          <w:b/>
          <w:i/>
        </w:rPr>
        <w:t>.</w:t>
      </w:r>
      <w:r w:rsidRPr="00076F85">
        <w:t xml:space="preserve"> This high value of PML shows the high risk exposure that is faced by the NDVI insurance program.</w:t>
      </w:r>
    </w:p>
    <w:p w:rsidR="005055E3" w:rsidRPr="00FE24C0" w:rsidRDefault="005055E3" w:rsidP="00311A14">
      <w:pPr>
        <w:pStyle w:val="WBReport"/>
      </w:pPr>
      <w:r w:rsidRPr="005055E3">
        <w:rPr>
          <w:b/>
          <w:i/>
        </w:rPr>
        <w:t>The PML is very sensitive to the payout frequency (month by month) selected to calculate the threshold triggers.</w:t>
      </w:r>
      <w:r w:rsidRPr="00A14444">
        <w:rPr>
          <w:b/>
        </w:rPr>
        <w:t xml:space="preserve"> </w:t>
      </w:r>
      <w:r w:rsidRPr="00A14444">
        <w:t>A reduction in the frequency (month by month) of payouts is accompanied by a</w:t>
      </w:r>
      <w:r w:rsidR="007C2731">
        <w:t>n</w:t>
      </w:r>
      <w:r w:rsidRPr="00A14444">
        <w:t xml:space="preserve"> increase in the threshold triggers, which in turns generates a decrease in the payouts of the NDVI insurance. If the Triggers are calculated using a payout frequency (month by month) of 1 in 10 years, then the PML is estimated </w:t>
      </w:r>
      <w:r w:rsidR="007C2731">
        <w:t>at</w:t>
      </w:r>
      <w:r w:rsidRPr="00A14444">
        <w:t xml:space="preserve"> 66% of the TSI, assuming a frequency of 1 in 12 years the PML decrease to 57%</w:t>
      </w:r>
      <w:r w:rsidR="007C2731">
        <w:t xml:space="preserve"> of TSI</w:t>
      </w:r>
      <w:r w:rsidRPr="00A14444">
        <w:t xml:space="preserve">, and finally with a 1 in 15 years frequency (month by month) the PML is </w:t>
      </w:r>
      <w:r w:rsidR="007C2731">
        <w:t xml:space="preserve">reduced to </w:t>
      </w:r>
      <w:r w:rsidRPr="00A14444">
        <w:t>42%</w:t>
      </w:r>
      <w:r w:rsidR="007C2731">
        <w:t xml:space="preserve"> of TSI</w:t>
      </w:r>
      <w:r w:rsidRPr="00A14444">
        <w:t>. Figure 5.13 shows the PML as a function of the return period of the event, and for threshold triggers calculated assuming several payout frequencies (month by month).</w:t>
      </w:r>
    </w:p>
    <w:p w:rsidR="000C6233" w:rsidRPr="00FE24C0" w:rsidRDefault="001A24FC" w:rsidP="00695F04">
      <w:pPr>
        <w:spacing w:after="0"/>
      </w:pPr>
      <w:proofErr w:type="gramStart"/>
      <w:r w:rsidRPr="00FE24C0">
        <w:rPr>
          <w:b/>
        </w:rPr>
        <w:t>Figure 5.</w:t>
      </w:r>
      <w:r w:rsidR="005055E3" w:rsidRPr="00FE24C0">
        <w:rPr>
          <w:b/>
        </w:rPr>
        <w:t>1</w:t>
      </w:r>
      <w:r w:rsidR="005055E3">
        <w:rPr>
          <w:b/>
        </w:rPr>
        <w:t>3</w:t>
      </w:r>
      <w:r w:rsidRPr="00FE24C0">
        <w:rPr>
          <w:b/>
        </w:rPr>
        <w:t>.</w:t>
      </w:r>
      <w:proofErr w:type="gramEnd"/>
      <w:r w:rsidRPr="00FE24C0">
        <w:rPr>
          <w:b/>
        </w:rPr>
        <w:t xml:space="preserve"> Estimated PML for </w:t>
      </w:r>
      <w:r w:rsidR="005055E3">
        <w:rPr>
          <w:b/>
        </w:rPr>
        <w:t xml:space="preserve">different </w:t>
      </w:r>
      <w:r w:rsidRPr="00FE24C0">
        <w:rPr>
          <w:b/>
        </w:rPr>
        <w:t xml:space="preserve">payout </w:t>
      </w:r>
      <w:r w:rsidR="005055E3">
        <w:rPr>
          <w:b/>
        </w:rPr>
        <w:t>frequencies</w:t>
      </w:r>
      <w:r w:rsidRPr="00FE24C0">
        <w:rPr>
          <w:b/>
        </w:rPr>
        <w:t>, in function of Year Return Period</w:t>
      </w:r>
      <w:r w:rsidR="007C2731">
        <w:rPr>
          <w:b/>
        </w:rPr>
        <w:t xml:space="preserve"> (% of TSI)</w:t>
      </w:r>
    </w:p>
    <w:p w:rsidR="000C6233" w:rsidRPr="00FE24C0" w:rsidRDefault="00E2141D" w:rsidP="00695F04">
      <w:pPr>
        <w:spacing w:after="0"/>
      </w:pPr>
      <w:r>
        <w:rPr>
          <w:noProof/>
          <w:lang w:val="es-AR" w:eastAsia="es-AR"/>
        </w:rPr>
        <w:drawing>
          <wp:inline distT="0" distB="0" distL="0" distR="0">
            <wp:extent cx="5248275" cy="2587627"/>
            <wp:effectExtent l="19050" t="0" r="9525" b="0"/>
            <wp:docPr id="1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48275" cy="2587627"/>
                    </a:xfrm>
                    <a:prstGeom prst="rect">
                      <a:avLst/>
                    </a:prstGeom>
                    <a:noFill/>
                    <a:ln w="9525">
                      <a:noFill/>
                      <a:miter lim="800000"/>
                      <a:headEnd/>
                      <a:tailEnd/>
                    </a:ln>
                  </pic:spPr>
                </pic:pic>
              </a:graphicData>
            </a:graphic>
          </wp:inline>
        </w:drawing>
      </w:r>
    </w:p>
    <w:p w:rsidR="000C6233" w:rsidRPr="00FE24C0" w:rsidRDefault="001A24FC">
      <w:pPr>
        <w:rPr>
          <w:sz w:val="20"/>
          <w:szCs w:val="20"/>
        </w:rPr>
      </w:pPr>
      <w:r w:rsidRPr="00FE24C0">
        <w:rPr>
          <w:sz w:val="20"/>
          <w:szCs w:val="20"/>
        </w:rPr>
        <w:t>Source: Author’s NDVI Rating Model</w:t>
      </w:r>
    </w:p>
    <w:p w:rsidR="00765986" w:rsidRDefault="00765986" w:rsidP="005A6F83">
      <w:pPr>
        <w:pStyle w:val="WBReport"/>
        <w:spacing w:after="360"/>
      </w:pPr>
      <w:r w:rsidRPr="00C70AF0">
        <w:rPr>
          <w:b/>
          <w:i/>
        </w:rPr>
        <w:lastRenderedPageBreak/>
        <w:t xml:space="preserve">The PML </w:t>
      </w:r>
      <w:r w:rsidR="007C2731">
        <w:rPr>
          <w:b/>
          <w:i/>
        </w:rPr>
        <w:t xml:space="preserve">above </w:t>
      </w:r>
      <w:r w:rsidRPr="00C70AF0">
        <w:rPr>
          <w:b/>
          <w:i/>
        </w:rPr>
        <w:t xml:space="preserve">analysis </w:t>
      </w:r>
      <w:r w:rsidR="007C2731">
        <w:rPr>
          <w:b/>
          <w:i/>
        </w:rPr>
        <w:t>h</w:t>
      </w:r>
      <w:r w:rsidRPr="00C70AF0">
        <w:rPr>
          <w:b/>
          <w:i/>
        </w:rPr>
        <w:t xml:space="preserve">as been performed by considering the SWBA as a whole. If the stakeholders decide </w:t>
      </w:r>
      <w:r w:rsidR="007C2731">
        <w:rPr>
          <w:b/>
          <w:i/>
        </w:rPr>
        <w:t xml:space="preserve">to </w:t>
      </w:r>
      <w:r w:rsidRPr="00C70AF0">
        <w:rPr>
          <w:b/>
          <w:i/>
        </w:rPr>
        <w:t xml:space="preserve">start with a pilot program in selected departments of SWBA, the PML as percentage of the Sum Insured would be higher than the </w:t>
      </w:r>
      <w:r w:rsidR="007C2731">
        <w:rPr>
          <w:b/>
          <w:i/>
        </w:rPr>
        <w:t>figures presented for the whole portfolio</w:t>
      </w:r>
      <w:r w:rsidRPr="00C70AF0">
        <w:rPr>
          <w:b/>
          <w:i/>
        </w:rPr>
        <w:t>.</w:t>
      </w:r>
      <w:r w:rsidRPr="002F5E79">
        <w:t xml:space="preserve"> As </w:t>
      </w:r>
      <w:r w:rsidR="007C2731">
        <w:t xml:space="preserve">previously </w:t>
      </w:r>
      <w:r w:rsidRPr="002F5E79">
        <w:t>mentioned,</w:t>
      </w:r>
      <w:r>
        <w:t xml:space="preserve"> by pooling the risks some benefits from diversification can be achieved and the PML</w:t>
      </w:r>
      <w:r w:rsidR="007C2731">
        <w:t>’s presented in Figure 5.13</w:t>
      </w:r>
      <w:r w:rsidR="00473093">
        <w:t xml:space="preserve"> </w:t>
      </w:r>
      <w:r>
        <w:t>which considers SWBA as a whole take</w:t>
      </w:r>
      <w:r w:rsidR="007C2731">
        <w:t>s</w:t>
      </w:r>
      <w:r>
        <w:t xml:space="preserve"> advantage from these benefits. Conversely, if each department is considered in isolation, the individual PML</w:t>
      </w:r>
      <w:r w:rsidRPr="002F5E79">
        <w:t xml:space="preserve"> </w:t>
      </w:r>
      <w:r>
        <w:t xml:space="preserve">of each one could be as high as 100% of the Department’s Sum Insured. This point is </w:t>
      </w:r>
      <w:r w:rsidR="007C2731">
        <w:t xml:space="preserve">important </w:t>
      </w:r>
      <w:r>
        <w:t xml:space="preserve">if the stakeholders wish </w:t>
      </w:r>
      <w:r w:rsidR="007C2731">
        <w:t xml:space="preserve">to </w:t>
      </w:r>
      <w:r>
        <w:t>start</w:t>
      </w:r>
      <w:r w:rsidR="007C2731">
        <w:t xml:space="preserve"> </w:t>
      </w:r>
      <w:r>
        <w:t>the NDVI program</w:t>
      </w:r>
      <w:r w:rsidRPr="002F5E79">
        <w:t xml:space="preserve"> </w:t>
      </w:r>
      <w:r>
        <w:t>with a pilot in selected Departments, in which case the PML</w:t>
      </w:r>
      <w:r w:rsidR="00473093">
        <w:t>s</w:t>
      </w:r>
      <w:r>
        <w:t xml:space="preserve"> would be considerable higher than th</w:t>
      </w:r>
      <w:r w:rsidR="00473093">
        <w:t xml:space="preserve">ose presented above </w:t>
      </w:r>
      <w:r>
        <w:t>(see Chapter 7 for further details).</w:t>
      </w:r>
    </w:p>
    <w:p w:rsidR="000C6233" w:rsidRPr="00FE24C0" w:rsidRDefault="002C506E" w:rsidP="00563117">
      <w:pPr>
        <w:pStyle w:val="Subttulo"/>
      </w:pPr>
      <w:bookmarkStart w:id="38" w:name="_Toc345794276"/>
      <w:r w:rsidRPr="00FE24C0">
        <w:t>Conclusions on NDVI Contract Design and Rating Study</w:t>
      </w:r>
      <w:bookmarkEnd w:id="38"/>
    </w:p>
    <w:p w:rsidR="000C6233" w:rsidRPr="00311A14" w:rsidRDefault="002C506E" w:rsidP="00311A14">
      <w:pPr>
        <w:pStyle w:val="WBReport"/>
        <w:rPr>
          <w:b/>
          <w:i/>
        </w:rPr>
      </w:pPr>
      <w:r w:rsidRPr="00311A14">
        <w:rPr>
          <w:b/>
          <w:i/>
        </w:rPr>
        <w:t xml:space="preserve">On the basis of this study the following points are highlighted in regard to the NDVI </w:t>
      </w:r>
      <w:r w:rsidR="00937F0B" w:rsidRPr="00311A14">
        <w:rPr>
          <w:b/>
          <w:i/>
        </w:rPr>
        <w:t>pasture</w:t>
      </w:r>
      <w:r w:rsidRPr="00311A14">
        <w:rPr>
          <w:b/>
          <w:i/>
        </w:rPr>
        <w:t xml:space="preserve"> index contract and rating exercise:</w:t>
      </w:r>
    </w:p>
    <w:p w:rsidR="00D8392A" w:rsidRPr="00FE24C0" w:rsidRDefault="00D8392A" w:rsidP="00DE58E6">
      <w:pPr>
        <w:pStyle w:val="APDroughtPara"/>
        <w:numPr>
          <w:ilvl w:val="0"/>
          <w:numId w:val="7"/>
        </w:numPr>
        <w:tabs>
          <w:tab w:val="left" w:pos="720"/>
        </w:tabs>
        <w:rPr>
          <w:szCs w:val="22"/>
        </w:rPr>
      </w:pPr>
      <w:r w:rsidRPr="00FE24C0">
        <w:rPr>
          <w:szCs w:val="22"/>
        </w:rPr>
        <w:t xml:space="preserve">A prototype NDVI contract has been designed and tested with the livestock industry in SWBA and refined on the basis of the feedback provided. The prototype NDVI cover provides comprehensive protection for breeding cattle (cows and heifers) over 6 months of the year. The sum insured has been carefully related to the nutritional requirements of cows and heifers on a daily and monthly basis during the 6-month cover period and then valued accordingly using maize as a reference supplementary feed. </w:t>
      </w:r>
    </w:p>
    <w:p w:rsidR="00D8392A" w:rsidRPr="00FE24C0" w:rsidRDefault="00D8392A" w:rsidP="00DE58E6">
      <w:pPr>
        <w:pStyle w:val="APDroughtPara"/>
        <w:numPr>
          <w:ilvl w:val="0"/>
          <w:numId w:val="7"/>
        </w:numPr>
        <w:tabs>
          <w:tab w:val="left" w:pos="720"/>
        </w:tabs>
        <w:rPr>
          <w:szCs w:val="22"/>
        </w:rPr>
      </w:pPr>
      <w:proofErr w:type="gramStart"/>
      <w:r w:rsidRPr="00FE24C0">
        <w:rPr>
          <w:szCs w:val="22"/>
        </w:rPr>
        <w:t>An excel</w:t>
      </w:r>
      <w:proofErr w:type="gramEnd"/>
      <w:r w:rsidRPr="00FE24C0">
        <w:rPr>
          <w:szCs w:val="22"/>
        </w:rPr>
        <w:t xml:space="preserve"> based NDVI Rating Model has been developed by the actuarial consultant under this study. The Rating Model is programmed to permit the end user a high degree of flexibility in setting the both the threshold NDVI trigger leading to an insurance payout and the exit trigger in each of the 117 Insured Units (</w:t>
      </w:r>
      <w:r w:rsidR="00937F0B" w:rsidRPr="00FE24C0">
        <w:rPr>
          <w:szCs w:val="22"/>
        </w:rPr>
        <w:t>Cuartels</w:t>
      </w:r>
      <w:r w:rsidRPr="00FE24C0">
        <w:rPr>
          <w:szCs w:val="22"/>
        </w:rPr>
        <w:t xml:space="preserve">). The rating tool is designed to generate pure loss costs rates, technical rates and </w:t>
      </w:r>
      <w:r w:rsidR="00AE1F0F" w:rsidRPr="00FE24C0">
        <w:rPr>
          <w:szCs w:val="22"/>
        </w:rPr>
        <w:t>indicative commercial premium rates. The user can also modify the sums insured and the franchise levels.</w:t>
      </w:r>
    </w:p>
    <w:p w:rsidR="00AE1F0F" w:rsidRPr="00FE24C0" w:rsidRDefault="00AE1F0F" w:rsidP="00DE58E6">
      <w:pPr>
        <w:pStyle w:val="APDroughtPara"/>
        <w:numPr>
          <w:ilvl w:val="0"/>
          <w:numId w:val="7"/>
        </w:numPr>
        <w:tabs>
          <w:tab w:val="left" w:pos="720"/>
        </w:tabs>
        <w:rPr>
          <w:szCs w:val="22"/>
        </w:rPr>
      </w:pPr>
      <w:r w:rsidRPr="00FE24C0">
        <w:rPr>
          <w:szCs w:val="22"/>
        </w:rPr>
        <w:t xml:space="preserve">Under this study a User’s Technical Manual has been drawn up which is attached as Annex </w:t>
      </w:r>
      <w:r w:rsidR="00D07306" w:rsidRPr="00FE24C0">
        <w:rPr>
          <w:szCs w:val="22"/>
        </w:rPr>
        <w:t>2</w:t>
      </w:r>
      <w:r w:rsidRPr="00FE24C0">
        <w:rPr>
          <w:szCs w:val="22"/>
        </w:rPr>
        <w:t xml:space="preserve">. </w:t>
      </w:r>
      <w:r w:rsidR="00937F0B" w:rsidRPr="00FE24C0">
        <w:rPr>
          <w:szCs w:val="22"/>
        </w:rPr>
        <w:t>This manual sets out the full details of the NDVI Rating methodology and can be used to form the basis of any Technical Note (</w:t>
      </w:r>
      <w:r w:rsidR="001A24FC" w:rsidRPr="00FE24C0">
        <w:rPr>
          <w:i/>
          <w:szCs w:val="22"/>
        </w:rPr>
        <w:t>Nota Tecnica</w:t>
      </w:r>
      <w:r w:rsidR="00937F0B" w:rsidRPr="00FE24C0">
        <w:rPr>
          <w:szCs w:val="22"/>
        </w:rPr>
        <w:t>) that the Insurance Companies may be required to submit to the Superintendent of Insurance and other key stakeholders.</w:t>
      </w:r>
    </w:p>
    <w:p w:rsidR="00D8392A" w:rsidRDefault="00AE1F0F" w:rsidP="00DE58E6">
      <w:pPr>
        <w:pStyle w:val="APDroughtPara"/>
        <w:numPr>
          <w:ilvl w:val="0"/>
          <w:numId w:val="7"/>
        </w:numPr>
        <w:tabs>
          <w:tab w:val="left" w:pos="720"/>
        </w:tabs>
        <w:rPr>
          <w:szCs w:val="22"/>
        </w:rPr>
      </w:pPr>
      <w:r w:rsidRPr="00FE24C0">
        <w:rPr>
          <w:szCs w:val="22"/>
        </w:rPr>
        <w:t>The rating exercise has clearly shown the very high drought risk exposures in pasture and this is reflected in the relatively high technical premium rates which have been presented in this Section. The main way of controlling the underlying pure rates and technical rates is by amending the frequency of payouts from 1 in 7 years to 1 in 12 years for example</w:t>
      </w:r>
      <w:r w:rsidR="002C506E" w:rsidRPr="00FE24C0">
        <w:rPr>
          <w:szCs w:val="22"/>
        </w:rPr>
        <w:t>.</w:t>
      </w:r>
    </w:p>
    <w:p w:rsidR="00FE7852" w:rsidRDefault="00FE7852" w:rsidP="00DE58E6">
      <w:pPr>
        <w:pStyle w:val="APDroughtPara"/>
        <w:numPr>
          <w:ilvl w:val="0"/>
          <w:numId w:val="7"/>
        </w:numPr>
        <w:tabs>
          <w:tab w:val="left" w:pos="720"/>
        </w:tabs>
        <w:rPr>
          <w:szCs w:val="22"/>
        </w:rPr>
      </w:pPr>
      <w:r>
        <w:rPr>
          <w:szCs w:val="22"/>
        </w:rPr>
        <w:t>The Insurance companies and Government (the Insured) will need to work closely with the livesto</w:t>
      </w:r>
      <w:r w:rsidR="00FA6C32">
        <w:rPr>
          <w:szCs w:val="22"/>
        </w:rPr>
        <w:t>ck sector in deciding on the optimum frequency of payouts (return period) for this NDVI product.  If the payout frequency is set to a purely catastrophe product (for example 1 in 15 years or greater) the product may look very attractive in terms of its pricing, but the cover may incur major contract design basis risk namely that the policy does not trigger payouts although livestock producers in SWBA have incurred major pasture drought losses.</w:t>
      </w:r>
    </w:p>
    <w:p w:rsidR="00C31BA7" w:rsidRPr="00FE24C0" w:rsidRDefault="00C31BA7" w:rsidP="00DE58E6">
      <w:pPr>
        <w:pStyle w:val="APDroughtPara"/>
        <w:numPr>
          <w:ilvl w:val="0"/>
          <w:numId w:val="7"/>
        </w:numPr>
        <w:tabs>
          <w:tab w:val="left" w:pos="720"/>
        </w:tabs>
        <w:rPr>
          <w:szCs w:val="22"/>
        </w:rPr>
      </w:pPr>
      <w:r>
        <w:rPr>
          <w:szCs w:val="22"/>
        </w:rPr>
        <w:lastRenderedPageBreak/>
        <w:t xml:space="preserve">A separate </w:t>
      </w:r>
      <w:r w:rsidR="00A16D0A">
        <w:rPr>
          <w:szCs w:val="22"/>
        </w:rPr>
        <w:t>M</w:t>
      </w:r>
      <w:r w:rsidR="00473093">
        <w:rPr>
          <w:szCs w:val="22"/>
        </w:rPr>
        <w:t xml:space="preserve">onte </w:t>
      </w:r>
      <w:r w:rsidR="00A16D0A">
        <w:rPr>
          <w:szCs w:val="22"/>
        </w:rPr>
        <w:t>C</w:t>
      </w:r>
      <w:r w:rsidR="00473093">
        <w:rPr>
          <w:szCs w:val="22"/>
        </w:rPr>
        <w:t>arlo simulation analysis has been conducted to analyse the expected PML’s on the NDVI program for all 12 Departments in SWBA. This analysis shows there are considerable benefits of pooling of risk on the overall PML for SWBA as a whole. The PML analysis is designed to assist the local insurers to assess their prudent risk retention and reinsurance purchasing requirements and to layer the reinsurance program. The estimated PMLs are very high on this pasture NDVI program reflecting the high drought risk exposure in pasture in SWBA.</w:t>
      </w:r>
      <w:r>
        <w:rPr>
          <w:szCs w:val="22"/>
        </w:rPr>
        <w:t xml:space="preserve"> </w:t>
      </w:r>
    </w:p>
    <w:p w:rsidR="00857987" w:rsidRPr="00563117" w:rsidRDefault="002C506E" w:rsidP="00563117">
      <w:pPr>
        <w:pStyle w:val="APDroughtPara"/>
        <w:numPr>
          <w:ilvl w:val="0"/>
          <w:numId w:val="7"/>
        </w:numPr>
        <w:tabs>
          <w:tab w:val="left" w:pos="720"/>
        </w:tabs>
        <w:rPr>
          <w:szCs w:val="22"/>
        </w:rPr>
      </w:pPr>
      <w:r w:rsidRPr="00FE24C0">
        <w:rPr>
          <w:szCs w:val="22"/>
        </w:rPr>
        <w:t xml:space="preserve">The results of the pricing </w:t>
      </w:r>
      <w:r w:rsidR="00AE1F0F" w:rsidRPr="00FE24C0">
        <w:rPr>
          <w:szCs w:val="22"/>
        </w:rPr>
        <w:t xml:space="preserve">analysis and </w:t>
      </w:r>
      <w:r w:rsidRPr="00FE24C0">
        <w:rPr>
          <w:szCs w:val="22"/>
        </w:rPr>
        <w:t xml:space="preserve">PML </w:t>
      </w:r>
      <w:r w:rsidR="00AE1F0F" w:rsidRPr="00FE24C0">
        <w:rPr>
          <w:szCs w:val="22"/>
        </w:rPr>
        <w:t xml:space="preserve">analysis </w:t>
      </w:r>
      <w:r w:rsidRPr="00FE24C0">
        <w:rPr>
          <w:szCs w:val="22"/>
        </w:rPr>
        <w:t xml:space="preserve">will help insurance companies to design a strategy for retention and risk transfer (reinsurance) </w:t>
      </w:r>
      <w:r w:rsidR="00AE1F0F" w:rsidRPr="00FE24C0">
        <w:rPr>
          <w:szCs w:val="22"/>
        </w:rPr>
        <w:t xml:space="preserve">on this NDVI pasture index insurance </w:t>
      </w:r>
      <w:r w:rsidRPr="00FE24C0">
        <w:rPr>
          <w:szCs w:val="22"/>
        </w:rPr>
        <w:t>program</w:t>
      </w:r>
      <w:r w:rsidR="00AE1F0F" w:rsidRPr="00FE24C0">
        <w:rPr>
          <w:szCs w:val="22"/>
        </w:rPr>
        <w:t xml:space="preserve"> for livestock producers in SWBA.</w:t>
      </w:r>
      <w:r w:rsidR="005D4DEA" w:rsidRPr="00FE24C0">
        <w:rPr>
          <w:szCs w:val="22"/>
        </w:rPr>
        <w:t xml:space="preserve"> It is stressed, however, that the commercial premium rates presented in this section are purely illustrative and that final rating decisions will be taken by the local insurers and their reinsurers.</w:t>
      </w:r>
      <w:r w:rsidR="00857987" w:rsidRPr="00563117">
        <w:rPr>
          <w:szCs w:val="22"/>
        </w:rPr>
        <w:br w:type="page"/>
      </w:r>
    </w:p>
    <w:p w:rsidR="002050E9" w:rsidRPr="00FE24C0" w:rsidRDefault="00E469BB" w:rsidP="00D830D0">
      <w:pPr>
        <w:pStyle w:val="Ttulo1"/>
        <w:rPr>
          <w:rFonts w:cs="Times New Roman"/>
        </w:rPr>
      </w:pPr>
      <w:bookmarkStart w:id="39" w:name="_Toc332274326"/>
      <w:bookmarkStart w:id="40" w:name="_Toc345794277"/>
      <w:r w:rsidRPr="00FE24C0">
        <w:rPr>
          <w:rFonts w:cs="Times New Roman"/>
        </w:rPr>
        <w:lastRenderedPageBreak/>
        <w:t>Legal, Institutional</w:t>
      </w:r>
      <w:r w:rsidR="007D71FD" w:rsidRPr="00FE24C0">
        <w:rPr>
          <w:rFonts w:cs="Times New Roman"/>
        </w:rPr>
        <w:t xml:space="preserve">, </w:t>
      </w:r>
      <w:r w:rsidRPr="00FE24C0">
        <w:rPr>
          <w:rFonts w:cs="Times New Roman"/>
        </w:rPr>
        <w:t xml:space="preserve">Operational </w:t>
      </w:r>
      <w:r w:rsidR="00030A46" w:rsidRPr="00FE24C0">
        <w:rPr>
          <w:rFonts w:cs="Times New Roman"/>
        </w:rPr>
        <w:t xml:space="preserve">and Financial </w:t>
      </w:r>
      <w:r w:rsidR="00662737" w:rsidRPr="00FE24C0">
        <w:rPr>
          <w:rFonts w:cs="Times New Roman"/>
        </w:rPr>
        <w:t>Considerations</w:t>
      </w:r>
      <w:r w:rsidRPr="00FE24C0">
        <w:rPr>
          <w:rFonts w:cs="Times New Roman"/>
        </w:rPr>
        <w:t xml:space="preserve"> </w:t>
      </w:r>
      <w:r w:rsidR="002050E9" w:rsidRPr="00FE24C0">
        <w:rPr>
          <w:rFonts w:cs="Times New Roman"/>
        </w:rPr>
        <w:t xml:space="preserve">for </w:t>
      </w:r>
      <w:r w:rsidR="00C51D1A" w:rsidRPr="00FE24C0">
        <w:rPr>
          <w:rFonts w:cs="Times New Roman"/>
        </w:rPr>
        <w:t>NDVI Pasture</w:t>
      </w:r>
      <w:r w:rsidR="002050E9" w:rsidRPr="00FE24C0">
        <w:rPr>
          <w:rFonts w:cs="Times New Roman"/>
        </w:rPr>
        <w:t xml:space="preserve"> Insurance</w:t>
      </w:r>
      <w:bookmarkEnd w:id="39"/>
      <w:bookmarkEnd w:id="40"/>
      <w:r w:rsidR="002050E9" w:rsidRPr="00FE24C0">
        <w:rPr>
          <w:rFonts w:cs="Times New Roman"/>
        </w:rPr>
        <w:t xml:space="preserve"> </w:t>
      </w:r>
    </w:p>
    <w:p w:rsidR="000C6233" w:rsidRPr="00D23F25" w:rsidRDefault="001A24FC" w:rsidP="00D23F25">
      <w:pPr>
        <w:pStyle w:val="WBReport"/>
      </w:pPr>
      <w:r w:rsidRPr="00D23F25">
        <w:rPr>
          <w:b/>
          <w:i/>
        </w:rPr>
        <w:t>This Chapter deals with the Legal, Institutional, Operational and Financial options and requirements for the implementation of the proposed Macro-level NDVI pasture insurance program for cattle producers located in SWBA</w:t>
      </w:r>
      <w:r w:rsidRPr="00FE24C0">
        <w:t>.</w:t>
      </w:r>
      <w:r w:rsidR="00DD5F2E" w:rsidRPr="00FE24C0">
        <w:t xml:space="preserve"> </w:t>
      </w:r>
      <w:r w:rsidRPr="00D23F25">
        <w:t>It is noted that at the time of completing this final report it has not been possible to confirm with Government or MAGyP key aspects for the operation of the macro-level NDVI program including: whether government will approve the macro-level program under which it would be the Insured and be responsible for the payment of premium; if cover will be automatically provided to all cattle producers (the beneficiaries) registered with SENASA in SWBA; and how the NDVI program will relate to the existing agricultural and livestock emergency schemes (termed Emergencia Agropecuaria) which are operated by Federal and Provincial Governments. The options set out in this Chapter will therefore need to be discussed and agreed between Government and the Insurance Companies, and then approved by the Superintendent of Insurance of the Nation.</w:t>
      </w:r>
      <w:r w:rsidR="00FD7EA0" w:rsidRPr="00D23F25">
        <w:t xml:space="preserve"> </w:t>
      </w:r>
    </w:p>
    <w:p w:rsidR="000C6233" w:rsidRPr="00FE24C0" w:rsidRDefault="00DD5F2E" w:rsidP="00750F30">
      <w:pPr>
        <w:pStyle w:val="Subttulo"/>
      </w:pPr>
      <w:bookmarkStart w:id="41" w:name="_Toc345794278"/>
      <w:r w:rsidRPr="00FE24C0">
        <w:t>Legal Considerations for NDVI Insurance</w:t>
      </w:r>
      <w:bookmarkEnd w:id="41"/>
      <w:r w:rsidRPr="00FE24C0">
        <w:t xml:space="preserve"> </w:t>
      </w:r>
    </w:p>
    <w:p w:rsidR="000C6233" w:rsidRPr="00750F30" w:rsidRDefault="00300B9D" w:rsidP="00750F30">
      <w:pPr>
        <w:pStyle w:val="WBReport"/>
      </w:pPr>
      <w:r w:rsidRPr="00750F30">
        <w:rPr>
          <w:b/>
          <w:i/>
        </w:rPr>
        <w:t xml:space="preserve">NDVI </w:t>
      </w:r>
      <w:r w:rsidR="003E5E3A" w:rsidRPr="00750F30">
        <w:rPr>
          <w:b/>
          <w:i/>
        </w:rPr>
        <w:t>Index</w:t>
      </w:r>
      <w:r w:rsidRPr="00750F30">
        <w:rPr>
          <w:b/>
          <w:i/>
        </w:rPr>
        <w:t xml:space="preserve"> i</w:t>
      </w:r>
      <w:r w:rsidR="003E5E3A" w:rsidRPr="00750F30">
        <w:rPr>
          <w:b/>
          <w:i/>
        </w:rPr>
        <w:t xml:space="preserve">nsurance differs from </w:t>
      </w:r>
      <w:r w:rsidR="00866897" w:rsidRPr="00750F30">
        <w:rPr>
          <w:b/>
          <w:i/>
        </w:rPr>
        <w:t xml:space="preserve">standard </w:t>
      </w:r>
      <w:r w:rsidR="003E5E3A" w:rsidRPr="00750F30">
        <w:rPr>
          <w:b/>
          <w:i/>
        </w:rPr>
        <w:t>indemnity based insurance in several key ways</w:t>
      </w:r>
      <w:r w:rsidR="00866897" w:rsidRPr="00750F30">
        <w:rPr>
          <w:b/>
          <w:i/>
        </w:rPr>
        <w:t xml:space="preserve"> which </w:t>
      </w:r>
      <w:r w:rsidR="002508FB" w:rsidRPr="00750F30">
        <w:rPr>
          <w:b/>
          <w:i/>
        </w:rPr>
        <w:t xml:space="preserve">in some countries </w:t>
      </w:r>
      <w:r w:rsidR="00866897" w:rsidRPr="00750F30">
        <w:rPr>
          <w:b/>
          <w:i/>
        </w:rPr>
        <w:t>may require changes or amendments to standard insurance legislation.</w:t>
      </w:r>
      <w:r w:rsidR="00866897" w:rsidRPr="00FE24C0">
        <w:rPr>
          <w:i/>
        </w:rPr>
        <w:t xml:space="preserve"> </w:t>
      </w:r>
      <w:r w:rsidR="001A24FC" w:rsidRPr="00D23F25">
        <w:t xml:space="preserve">To begin with the object of insurance that applies under a traditional insurance policy, for example a plot of land with a defined area of an insured crop (which could be pasture), is replaced by a proxy index, in this case a satellite measured vegetative reflective NDVI index which is designed to approximate as accurately as possible the loss of pasture production and grazing quality that occurs in years of extreme weather, especially droughts. Secondly a central feature of any standard insurance policy is that the insured good or object must be subject to physical loss or damage which can be measured and quantified, and an indemnity is paid according to the actual amount of loss suffered/incurred by the insured object. Under an index insurance cover, there is no measurement of actual physical loss or damage suffered by the Insured, but rather an insurance payment is made according to a pre-agreed payout procedure once the index threshold leading to a payout has been triggered. Such a payout may be a single lump sum payment or a scaled payout subject to a maximum. A key difference between index and indemnity insurance is that an index may result in payouts to an Insured even if the Insured has not incurred any physical loss or damage to the object or good which the index is designed to approximate, and conversely, the index may not trigger any payout even though the </w:t>
      </w:r>
      <w:r w:rsidR="00CC2734" w:rsidRPr="00D23F25">
        <w:t>I</w:t>
      </w:r>
      <w:r w:rsidR="001A24FC" w:rsidRPr="00D23F25">
        <w:t>nsured has incurred in a loss.</w:t>
      </w:r>
    </w:p>
    <w:p w:rsidR="000C6233" w:rsidRPr="00FE24C0" w:rsidRDefault="00851644" w:rsidP="00D23F25">
      <w:pPr>
        <w:pStyle w:val="WBReport"/>
        <w:rPr>
          <w:i/>
        </w:rPr>
      </w:pPr>
      <w:r w:rsidRPr="00750F30">
        <w:rPr>
          <w:b/>
          <w:i/>
        </w:rPr>
        <w:t xml:space="preserve">Under the proposal to issue a macro-level NDVI insurance policy whereby the </w:t>
      </w:r>
      <w:r w:rsidR="00252561" w:rsidRPr="00750F30">
        <w:rPr>
          <w:b/>
          <w:i/>
        </w:rPr>
        <w:t xml:space="preserve">Federal Government </w:t>
      </w:r>
      <w:r w:rsidR="00533620" w:rsidRPr="00750F30">
        <w:rPr>
          <w:b/>
          <w:i/>
        </w:rPr>
        <w:t>of Argentina</w:t>
      </w:r>
      <w:r w:rsidR="00CD7694" w:rsidRPr="00750F30">
        <w:rPr>
          <w:b/>
          <w:i/>
        </w:rPr>
        <w:t xml:space="preserve"> (G</w:t>
      </w:r>
      <w:r w:rsidR="005655BA" w:rsidRPr="00750F30">
        <w:rPr>
          <w:b/>
          <w:i/>
        </w:rPr>
        <w:t>o</w:t>
      </w:r>
      <w:r w:rsidR="00CD7694" w:rsidRPr="00750F30">
        <w:rPr>
          <w:b/>
          <w:i/>
        </w:rPr>
        <w:t>A)</w:t>
      </w:r>
      <w:r w:rsidR="00533620" w:rsidRPr="00750F30">
        <w:rPr>
          <w:b/>
          <w:i/>
        </w:rPr>
        <w:t xml:space="preserve"> </w:t>
      </w:r>
      <w:r w:rsidR="00252561" w:rsidRPr="00750F30">
        <w:rPr>
          <w:b/>
          <w:i/>
        </w:rPr>
        <w:t xml:space="preserve">or the </w:t>
      </w:r>
      <w:r w:rsidRPr="00750F30">
        <w:rPr>
          <w:b/>
          <w:i/>
        </w:rPr>
        <w:t xml:space="preserve">Government of Buenos Aires </w:t>
      </w:r>
      <w:r w:rsidR="00252561" w:rsidRPr="00750F30">
        <w:rPr>
          <w:b/>
          <w:i/>
        </w:rPr>
        <w:t xml:space="preserve">(GBA) </w:t>
      </w:r>
      <w:r w:rsidRPr="00750F30">
        <w:rPr>
          <w:b/>
          <w:i/>
        </w:rPr>
        <w:t xml:space="preserve">would be the Insured, it will be important </w:t>
      </w:r>
      <w:r w:rsidR="004D1FDA" w:rsidRPr="00750F30">
        <w:rPr>
          <w:b/>
          <w:i/>
        </w:rPr>
        <w:t>for the participating Insurance Companies</w:t>
      </w:r>
      <w:r w:rsidR="00CD7694" w:rsidRPr="00750F30">
        <w:rPr>
          <w:b/>
          <w:i/>
        </w:rPr>
        <w:t xml:space="preserve"> to </w:t>
      </w:r>
      <w:r w:rsidRPr="00750F30">
        <w:rPr>
          <w:b/>
          <w:i/>
        </w:rPr>
        <w:t>confirm the legal requirements and procedures for issuing such a cover, with the Superintendent of Insurance</w:t>
      </w:r>
      <w:r w:rsidRPr="00FE24C0">
        <w:rPr>
          <w:i/>
        </w:rPr>
        <w:t xml:space="preserve">. </w:t>
      </w:r>
      <w:r w:rsidR="001A24FC" w:rsidRPr="00D23F25">
        <w:t xml:space="preserve">Under this proposal, the Federal or Provincial governments would be the Insured on behalf of the approximately 8,000 cattle producers located in the 12 </w:t>
      </w:r>
      <w:r w:rsidR="00865CC5">
        <w:t>Departments</w:t>
      </w:r>
      <w:r w:rsidR="001A24FC" w:rsidRPr="00D23F25">
        <w:t xml:space="preserve"> of SWBA, each of whom would be registered with the government according to their number of cattle in each Insured Unit. Under this assumption, all cattle livestock producers in SWBA would be automatically enrolled and insured under the NDVI scheme as “beneficiaries” in the event of a triggered payout. The Insured would receive an NDVI Master Policy document and special conditions attaching and would be responsible for payment of premium on the agreed TSI.</w:t>
      </w:r>
    </w:p>
    <w:p w:rsidR="000C6233" w:rsidRPr="00FE24C0" w:rsidRDefault="001A24FC">
      <w:pPr>
        <w:pStyle w:val="Ttulo2"/>
        <w:spacing w:before="0" w:after="0"/>
        <w:rPr>
          <w:i/>
        </w:rPr>
      </w:pPr>
      <w:r w:rsidRPr="00FE24C0">
        <w:rPr>
          <w:i/>
        </w:rPr>
        <w:lastRenderedPageBreak/>
        <w:t xml:space="preserve"> </w:t>
      </w:r>
    </w:p>
    <w:p w:rsidR="000C6233" w:rsidRPr="00750F30" w:rsidRDefault="0028284A" w:rsidP="00750F30">
      <w:pPr>
        <w:pStyle w:val="WBReport"/>
      </w:pPr>
      <w:r w:rsidRPr="00750F30">
        <w:rPr>
          <w:b/>
          <w:i/>
        </w:rPr>
        <w:t>In the conduct of the NDVI Livestock Pasture Index Techn</w:t>
      </w:r>
      <w:r w:rsidR="001E6FBE" w:rsidRPr="00750F30">
        <w:rPr>
          <w:b/>
          <w:i/>
        </w:rPr>
        <w:t>i</w:t>
      </w:r>
      <w:r w:rsidRPr="00750F30">
        <w:rPr>
          <w:b/>
          <w:i/>
        </w:rPr>
        <w:t xml:space="preserve">cal Design and Rating Study the World </w:t>
      </w:r>
      <w:r w:rsidR="00D36963" w:rsidRPr="00750F30">
        <w:rPr>
          <w:b/>
          <w:i/>
        </w:rPr>
        <w:t xml:space="preserve">Bank </w:t>
      </w:r>
      <w:r w:rsidRPr="00750F30">
        <w:rPr>
          <w:b/>
          <w:i/>
        </w:rPr>
        <w:t>team has briefed the SSN at each stage of development of the program</w:t>
      </w:r>
      <w:r w:rsidR="00D36963" w:rsidRPr="00750F30">
        <w:rPr>
          <w:b/>
          <w:i/>
        </w:rPr>
        <w:t xml:space="preserve"> and SSN has expressed its agreement in principle to this new index program</w:t>
      </w:r>
      <w:r w:rsidRPr="00750F30">
        <w:rPr>
          <w:b/>
          <w:i/>
        </w:rPr>
        <w:t>.</w:t>
      </w:r>
      <w:r w:rsidR="001A24FC" w:rsidRPr="00750F30">
        <w:rPr>
          <w:b/>
          <w:i/>
        </w:rPr>
        <w:t xml:space="preserve"> </w:t>
      </w:r>
      <w:r w:rsidR="001A24FC" w:rsidRPr="00D23F25">
        <w:t>During the study the team has met with SSN to present the NDVI prototype product, rating tool and Manual of Instructions. The SSN has confirmed its agreement, in principle, with the proposed macro-level policy, which would be issued to either National or Provincial Government of Buenos Aires Province, which would be the Insured, and the proposed basis of insurance and indemnity payouts using the SENASA livestock data-base in each Cuartel. SSN has also approved the concept of a local Co-insurance pool agreement for the pasture NDVI Insurance Program (discussed further below). In due course it will be the responsibility of the Pool Coinsurers to present their Technical Note (Nota Técnica) for the pasture NDVI insurance product to SSN for registration and approval purposes</w:t>
      </w:r>
      <w:r w:rsidR="00A523B7" w:rsidRPr="00D23F25">
        <w:t>.</w:t>
      </w:r>
    </w:p>
    <w:p w:rsidR="000C6233" w:rsidRPr="00D23F25" w:rsidRDefault="00D36963" w:rsidP="00D23F25">
      <w:pPr>
        <w:pStyle w:val="WBReport"/>
      </w:pPr>
      <w:r w:rsidRPr="00750F30">
        <w:rPr>
          <w:b/>
          <w:i/>
        </w:rPr>
        <w:t xml:space="preserve">The </w:t>
      </w:r>
      <w:r w:rsidR="00586C95" w:rsidRPr="00750F30">
        <w:rPr>
          <w:b/>
          <w:i/>
        </w:rPr>
        <w:t xml:space="preserve">World Bank has been committed to </w:t>
      </w:r>
      <w:r w:rsidRPr="00750F30">
        <w:rPr>
          <w:b/>
          <w:i/>
        </w:rPr>
        <w:t xml:space="preserve">providing technical </w:t>
      </w:r>
      <w:r w:rsidR="00586C95" w:rsidRPr="00750F30">
        <w:rPr>
          <w:b/>
          <w:i/>
        </w:rPr>
        <w:t>assis</w:t>
      </w:r>
      <w:r w:rsidRPr="00750F30">
        <w:rPr>
          <w:b/>
          <w:i/>
        </w:rPr>
        <w:t>tance</w:t>
      </w:r>
      <w:r w:rsidR="00586C95" w:rsidRPr="00750F30">
        <w:rPr>
          <w:b/>
          <w:i/>
        </w:rPr>
        <w:t xml:space="preserve"> both </w:t>
      </w:r>
      <w:r w:rsidRPr="00750F30">
        <w:rPr>
          <w:b/>
          <w:i/>
        </w:rPr>
        <w:t xml:space="preserve">to </w:t>
      </w:r>
      <w:r w:rsidR="00586C95" w:rsidRPr="00750F30">
        <w:rPr>
          <w:b/>
          <w:i/>
        </w:rPr>
        <w:t xml:space="preserve">the SNN and </w:t>
      </w:r>
      <w:r w:rsidRPr="00750F30">
        <w:rPr>
          <w:b/>
          <w:i/>
        </w:rPr>
        <w:t xml:space="preserve">to </w:t>
      </w:r>
      <w:r w:rsidR="00586C95" w:rsidRPr="00750F30">
        <w:rPr>
          <w:b/>
          <w:i/>
        </w:rPr>
        <w:t xml:space="preserve">interested insurers </w:t>
      </w:r>
      <w:r w:rsidR="00066050" w:rsidRPr="00750F30">
        <w:rPr>
          <w:b/>
          <w:i/>
        </w:rPr>
        <w:t xml:space="preserve">in </w:t>
      </w:r>
      <w:r w:rsidR="002508FB" w:rsidRPr="00750F30">
        <w:rPr>
          <w:b/>
          <w:i/>
        </w:rPr>
        <w:t xml:space="preserve">the form of </w:t>
      </w:r>
      <w:r w:rsidR="00E04250" w:rsidRPr="00750F30">
        <w:rPr>
          <w:b/>
          <w:i/>
        </w:rPr>
        <w:t>(</w:t>
      </w:r>
      <w:r w:rsidR="009519B1" w:rsidRPr="00750F30">
        <w:rPr>
          <w:b/>
          <w:i/>
        </w:rPr>
        <w:t xml:space="preserve">1) </w:t>
      </w:r>
      <w:r w:rsidR="002508FB" w:rsidRPr="00750F30">
        <w:rPr>
          <w:b/>
          <w:i/>
        </w:rPr>
        <w:t xml:space="preserve">a </w:t>
      </w:r>
      <w:r w:rsidR="00E04250" w:rsidRPr="00750F30">
        <w:rPr>
          <w:b/>
          <w:i/>
        </w:rPr>
        <w:t>T</w:t>
      </w:r>
      <w:r w:rsidR="002508FB" w:rsidRPr="00750F30">
        <w:rPr>
          <w:b/>
          <w:i/>
        </w:rPr>
        <w:t xml:space="preserve">echnical </w:t>
      </w:r>
      <w:r w:rsidR="00E04250" w:rsidRPr="00750F30">
        <w:rPr>
          <w:b/>
          <w:i/>
        </w:rPr>
        <w:t>N</w:t>
      </w:r>
      <w:r w:rsidR="000B4D8C" w:rsidRPr="00750F30">
        <w:rPr>
          <w:b/>
          <w:i/>
        </w:rPr>
        <w:t>ote</w:t>
      </w:r>
      <w:r w:rsidR="00CD4FBE" w:rsidRPr="00750F30">
        <w:rPr>
          <w:b/>
          <w:i/>
        </w:rPr>
        <w:t>,</w:t>
      </w:r>
      <w:r w:rsidR="001E6FBE" w:rsidRPr="00750F30">
        <w:rPr>
          <w:b/>
          <w:i/>
        </w:rPr>
        <w:t xml:space="preserve"> </w:t>
      </w:r>
      <w:r w:rsidR="00E04250" w:rsidRPr="00750F30">
        <w:rPr>
          <w:b/>
          <w:i/>
        </w:rPr>
        <w:t>(</w:t>
      </w:r>
      <w:r w:rsidR="001E6FBE" w:rsidRPr="00750F30">
        <w:rPr>
          <w:b/>
          <w:i/>
        </w:rPr>
        <w:t>2) an Excel</w:t>
      </w:r>
      <w:r w:rsidR="00E04250" w:rsidRPr="00750F30">
        <w:rPr>
          <w:b/>
          <w:i/>
        </w:rPr>
        <w:t>-</w:t>
      </w:r>
      <w:r w:rsidR="001E6FBE" w:rsidRPr="00750F30">
        <w:rPr>
          <w:b/>
          <w:i/>
        </w:rPr>
        <w:t>based NDVI premium rating and PML estimation Model</w:t>
      </w:r>
      <w:r w:rsidR="00E04250" w:rsidRPr="00750F30">
        <w:rPr>
          <w:b/>
          <w:i/>
        </w:rPr>
        <w:t>;</w:t>
      </w:r>
      <w:r w:rsidRPr="00750F30">
        <w:rPr>
          <w:b/>
          <w:i/>
        </w:rPr>
        <w:t xml:space="preserve"> and </w:t>
      </w:r>
      <w:r w:rsidR="00E04250" w:rsidRPr="00750F30">
        <w:rPr>
          <w:b/>
          <w:i/>
        </w:rPr>
        <w:t>(</w:t>
      </w:r>
      <w:r w:rsidRPr="00750F30">
        <w:rPr>
          <w:b/>
          <w:i/>
        </w:rPr>
        <w:t xml:space="preserve">3) a </w:t>
      </w:r>
      <w:r w:rsidR="004D1FDA" w:rsidRPr="00750F30">
        <w:rPr>
          <w:b/>
          <w:i/>
        </w:rPr>
        <w:t>Manual of Instructions for the use of the NDVI Rating Model</w:t>
      </w:r>
      <w:r w:rsidR="001E6FBE" w:rsidRPr="00750F30">
        <w:rPr>
          <w:b/>
          <w:i/>
        </w:rPr>
        <w:t>,</w:t>
      </w:r>
      <w:r w:rsidR="001A24FC" w:rsidRPr="00FE24C0">
        <w:rPr>
          <w:i/>
        </w:rPr>
        <w:t xml:space="preserve"> </w:t>
      </w:r>
      <w:r w:rsidR="001A24FC" w:rsidRPr="00FE24C0">
        <w:rPr>
          <w:b/>
        </w:rPr>
        <w:t xml:space="preserve">(see Annex 2). </w:t>
      </w:r>
      <w:r w:rsidR="001A24FC" w:rsidRPr="00D23F25">
        <w:t xml:space="preserve">The Users’ Manual provides full details of the NDVI product design and terms and conditions of cover, and instructions for the use of the Excel-based NDVI rating model which is programmed to provide calculations of the pure risk premium rates, technical rates and indicative commercial premium rates for all Insured Units in each Department and in total and for any pre-defined sum insured and payout frequency. </w:t>
      </w:r>
    </w:p>
    <w:p w:rsidR="000C6233" w:rsidRPr="00FE24C0" w:rsidRDefault="001E6FBE" w:rsidP="00D23F25">
      <w:pPr>
        <w:pStyle w:val="WBReport"/>
      </w:pPr>
      <w:r w:rsidRPr="00750F30">
        <w:rPr>
          <w:b/>
          <w:i/>
        </w:rPr>
        <w:t>T</w:t>
      </w:r>
      <w:r w:rsidR="004D76DB" w:rsidRPr="00750F30">
        <w:rPr>
          <w:b/>
          <w:i/>
        </w:rPr>
        <w:t>he proposed de</w:t>
      </w:r>
      <w:r w:rsidR="003E5E3A" w:rsidRPr="00750F30">
        <w:rPr>
          <w:b/>
          <w:i/>
        </w:rPr>
        <w:t xml:space="preserve">velopment </w:t>
      </w:r>
      <w:r w:rsidRPr="00750F30">
        <w:rPr>
          <w:b/>
          <w:i/>
        </w:rPr>
        <w:t xml:space="preserve">in SWBA Province </w:t>
      </w:r>
      <w:r w:rsidR="003E5E3A" w:rsidRPr="00750F30">
        <w:rPr>
          <w:b/>
          <w:i/>
        </w:rPr>
        <w:t xml:space="preserve">of </w:t>
      </w:r>
      <w:r w:rsidR="004D76DB" w:rsidRPr="00750F30">
        <w:rPr>
          <w:b/>
          <w:i/>
        </w:rPr>
        <w:t xml:space="preserve">NDVI </w:t>
      </w:r>
      <w:r w:rsidRPr="00750F30">
        <w:rPr>
          <w:b/>
          <w:i/>
        </w:rPr>
        <w:t xml:space="preserve">pasture </w:t>
      </w:r>
      <w:r w:rsidR="003E5E3A" w:rsidRPr="00750F30">
        <w:rPr>
          <w:b/>
          <w:i/>
        </w:rPr>
        <w:t xml:space="preserve">index </w:t>
      </w:r>
      <w:r w:rsidRPr="00750F30">
        <w:rPr>
          <w:b/>
          <w:i/>
        </w:rPr>
        <w:t xml:space="preserve">insurance </w:t>
      </w:r>
      <w:r w:rsidR="003E5E3A" w:rsidRPr="00750F30">
        <w:rPr>
          <w:b/>
          <w:i/>
        </w:rPr>
        <w:t xml:space="preserve">cover for </w:t>
      </w:r>
      <w:r w:rsidR="004D76DB" w:rsidRPr="00750F30">
        <w:rPr>
          <w:b/>
          <w:i/>
        </w:rPr>
        <w:t xml:space="preserve">the </w:t>
      </w:r>
      <w:r w:rsidR="001F7363" w:rsidRPr="00750F30">
        <w:rPr>
          <w:b/>
          <w:i/>
        </w:rPr>
        <w:t xml:space="preserve">Federal or </w:t>
      </w:r>
      <w:r w:rsidR="003E5E3A" w:rsidRPr="00750F30">
        <w:rPr>
          <w:b/>
          <w:i/>
        </w:rPr>
        <w:t xml:space="preserve">Provincial </w:t>
      </w:r>
      <w:r w:rsidR="001F7363" w:rsidRPr="00750F30">
        <w:rPr>
          <w:b/>
          <w:i/>
        </w:rPr>
        <w:t xml:space="preserve">governments </w:t>
      </w:r>
      <w:r w:rsidR="004D76DB" w:rsidRPr="00750F30">
        <w:rPr>
          <w:b/>
          <w:i/>
        </w:rPr>
        <w:t>will need</w:t>
      </w:r>
      <w:r w:rsidR="003E5E3A" w:rsidRPr="00750F30">
        <w:rPr>
          <w:b/>
          <w:i/>
        </w:rPr>
        <w:t xml:space="preserve"> to be carefully examined in the context of the National Agricultural and Livestock Disaster Relief Program (Law 26509/09 - Sistema Nacional para la Prevención y Mitigación de los Desastres Agropecuarios</w:t>
      </w:r>
      <w:r w:rsidR="004D76DB" w:rsidRPr="00750F30">
        <w:rPr>
          <w:b/>
          <w:i/>
        </w:rPr>
        <w:t>)</w:t>
      </w:r>
      <w:r w:rsidR="003E5E3A" w:rsidRPr="00750F30">
        <w:rPr>
          <w:b/>
          <w:i/>
        </w:rPr>
        <w:t xml:space="preserve">, and the Law 22913/81 </w:t>
      </w:r>
      <w:r w:rsidR="004D76DB" w:rsidRPr="00750F30">
        <w:rPr>
          <w:b/>
          <w:i/>
        </w:rPr>
        <w:t>Agricultural and Livestock Emergenc</w:t>
      </w:r>
      <w:r w:rsidR="00300B9D" w:rsidRPr="00750F30">
        <w:rPr>
          <w:b/>
          <w:i/>
        </w:rPr>
        <w:t>y Law</w:t>
      </w:r>
      <w:r w:rsidR="004D76DB" w:rsidRPr="00750F30">
        <w:rPr>
          <w:b/>
          <w:i/>
        </w:rPr>
        <w:t xml:space="preserve"> (</w:t>
      </w:r>
      <w:r w:rsidR="003E5E3A" w:rsidRPr="00750F30">
        <w:rPr>
          <w:b/>
          <w:i/>
        </w:rPr>
        <w:t>Ley de Emergencia Agropecuaria</w:t>
      </w:r>
      <w:r w:rsidR="00D302BD" w:rsidRPr="00750F30">
        <w:rPr>
          <w:b/>
          <w:i/>
        </w:rPr>
        <w:t>) and the Provincial Law of Agricultural Disaster Relief (</w:t>
      </w:r>
      <w:r w:rsidR="001F7363" w:rsidRPr="00750F30">
        <w:rPr>
          <w:b/>
          <w:i/>
        </w:rPr>
        <w:t>Law 10,390</w:t>
      </w:r>
      <w:r w:rsidR="003E5E3A" w:rsidRPr="00750F30">
        <w:rPr>
          <w:b/>
          <w:i/>
        </w:rPr>
        <w:t>).</w:t>
      </w:r>
      <w:r w:rsidR="003E5E3A" w:rsidRPr="00FE24C0">
        <w:rPr>
          <w:i/>
        </w:rPr>
        <w:t xml:space="preserve"> </w:t>
      </w:r>
      <w:r w:rsidR="001A24FC" w:rsidRPr="00D23F25">
        <w:t>The World Bank study had intended to examine closely the potential linkages (and also to avoid duplication) between the Federal or the Provincial Governments’ ex-post disaster and emergency relief compensation schemes for livestock farmers in SWBA following major droughts and other natural disasters affecting pasture and grazing production, and the proposed ex-ante NDVI pasture insurance program covering all 8,000 cattle producers, owning approximately 1.1 million head of insured cattle (cows and Heifers) in 2011 with an estimated total sum insured (TSI) of about AR$ 334 million. If the proposed NDVI insurance program is to be introduced for cattle producers located in SWBA, it may be necessary to review the operation of the Laws 2609/60, 22913/81 and 10,390 in this region in relation to this new NDVI insurance program. It has not, however, been possible to review the NDVI pasture insurance cover with the public-sector authorities responsible for managing these natural disaster relief schemes in Argentina. These discussions will therefore have to be held by the interested parties in the near future.</w:t>
      </w:r>
    </w:p>
    <w:p w:rsidR="000C6233" w:rsidRPr="00FE24C0" w:rsidRDefault="001A24FC" w:rsidP="00750F30">
      <w:pPr>
        <w:pStyle w:val="Subttulo"/>
      </w:pPr>
      <w:bookmarkStart w:id="42" w:name="_Toc332274328"/>
      <w:bookmarkStart w:id="43" w:name="_Toc345794279"/>
      <w:r w:rsidRPr="00FE24C0">
        <w:t>Institutional Considerations for NDVI Insurance</w:t>
      </w:r>
      <w:bookmarkEnd w:id="42"/>
      <w:bookmarkEnd w:id="43"/>
    </w:p>
    <w:p w:rsidR="000C6233" w:rsidRPr="00750F30" w:rsidRDefault="00A67442" w:rsidP="00750F30">
      <w:pPr>
        <w:pStyle w:val="WBReport"/>
      </w:pPr>
      <w:r w:rsidRPr="00750F30">
        <w:rPr>
          <w:b/>
          <w:i/>
        </w:rPr>
        <w:t>Since the beginning of this pasture NDVI insurance initiative a</w:t>
      </w:r>
      <w:r w:rsidR="00E41BB5" w:rsidRPr="00750F30">
        <w:rPr>
          <w:b/>
          <w:i/>
        </w:rPr>
        <w:t xml:space="preserve"> group of the largest </w:t>
      </w:r>
      <w:r w:rsidR="00775D87" w:rsidRPr="00750F30">
        <w:rPr>
          <w:b/>
          <w:i/>
        </w:rPr>
        <w:t xml:space="preserve">private </w:t>
      </w:r>
      <w:r w:rsidR="00E41BB5" w:rsidRPr="00750F30">
        <w:rPr>
          <w:b/>
          <w:i/>
        </w:rPr>
        <w:t xml:space="preserve">agricultural insurance companies </w:t>
      </w:r>
      <w:r w:rsidR="00775D87" w:rsidRPr="00750F30">
        <w:rPr>
          <w:b/>
          <w:i/>
        </w:rPr>
        <w:t xml:space="preserve">in Argentina </w:t>
      </w:r>
      <w:r w:rsidR="003A116E" w:rsidRPr="00750F30">
        <w:rPr>
          <w:b/>
          <w:i/>
        </w:rPr>
        <w:t xml:space="preserve">have </w:t>
      </w:r>
      <w:r w:rsidRPr="00750F30">
        <w:rPr>
          <w:b/>
          <w:i/>
        </w:rPr>
        <w:t xml:space="preserve">indicated </w:t>
      </w:r>
      <w:r w:rsidR="003A116E" w:rsidRPr="00750F30">
        <w:rPr>
          <w:b/>
          <w:i/>
        </w:rPr>
        <w:t xml:space="preserve">their </w:t>
      </w:r>
      <w:r w:rsidR="00E41BB5" w:rsidRPr="00750F30">
        <w:rPr>
          <w:b/>
          <w:i/>
        </w:rPr>
        <w:t xml:space="preserve">interest in </w:t>
      </w:r>
      <w:r w:rsidRPr="00750F30">
        <w:rPr>
          <w:b/>
          <w:i/>
        </w:rPr>
        <w:t xml:space="preserve">underwriting a Macro-level </w:t>
      </w:r>
      <w:r w:rsidR="003A116E" w:rsidRPr="00750F30">
        <w:rPr>
          <w:b/>
          <w:i/>
        </w:rPr>
        <w:t xml:space="preserve">NDVI </w:t>
      </w:r>
      <w:r w:rsidR="00E41BB5" w:rsidRPr="00750F30">
        <w:rPr>
          <w:b/>
          <w:i/>
        </w:rPr>
        <w:t xml:space="preserve">insurance </w:t>
      </w:r>
      <w:r w:rsidRPr="00750F30">
        <w:rPr>
          <w:b/>
          <w:i/>
        </w:rPr>
        <w:t xml:space="preserve">policy on behalf of the Federal or </w:t>
      </w:r>
      <w:r w:rsidR="00E41BB5" w:rsidRPr="00750F30">
        <w:rPr>
          <w:b/>
          <w:i/>
        </w:rPr>
        <w:t>Provincial Government</w:t>
      </w:r>
      <w:r w:rsidRPr="00750F30">
        <w:rPr>
          <w:b/>
          <w:i/>
        </w:rPr>
        <w:t xml:space="preserve"> of Buenos Aires</w:t>
      </w:r>
      <w:r w:rsidR="00E41BB5" w:rsidRPr="00750F30">
        <w:rPr>
          <w:b/>
          <w:i/>
        </w:rPr>
        <w:t>.</w:t>
      </w:r>
      <w:r w:rsidR="00E41BB5" w:rsidRPr="00FE24C0">
        <w:rPr>
          <w:i/>
        </w:rPr>
        <w:t xml:space="preserve"> </w:t>
      </w:r>
      <w:r w:rsidR="001A24FC" w:rsidRPr="00D23F25">
        <w:t xml:space="preserve">In each of the previous Missions the World Bank team has met a group of 5 leading insurance companies including La Segunda, Mapfre Seguros, Provincia Seguros, Sancor and San Cristobal who have provided limited funding for the LART-FAUBA original NDVI study in SWBA, and who have also indicated their willingness, in principle, to </w:t>
      </w:r>
      <w:r w:rsidR="001A24FC" w:rsidRPr="00D23F25">
        <w:lastRenderedPageBreak/>
        <w:t>form a coinsurance pool to underwrite the NDVI pasture-drought insurance product that has been developed under this study. The companies have indicated their strong preference for a macro-level product for the livestock sector in SWBA which would be offered as an aggregate policy to the state authorities as opposed to marketing cover to individual livestock producers. During the May 2012 third technical Mission to Argentina, a workshop was held in Bahia Blanca to explain the current status of development of the NDVI insurance program. This meeting was attended by Nación Seguros, which has also indicated its interest in underwriting the NDVI pasture insurance index scheme, not least because the Policy will be issued to government</w:t>
      </w:r>
      <w:r w:rsidR="00C70AF0">
        <w:t>.</w:t>
      </w:r>
    </w:p>
    <w:p w:rsidR="000C6233" w:rsidRPr="00FE24C0" w:rsidRDefault="00A67442" w:rsidP="00D23F25">
      <w:pPr>
        <w:pStyle w:val="WBReport"/>
        <w:rPr>
          <w:i/>
        </w:rPr>
      </w:pPr>
      <w:r w:rsidRPr="00750F30">
        <w:rPr>
          <w:b/>
          <w:i/>
        </w:rPr>
        <w:t xml:space="preserve">The interested </w:t>
      </w:r>
      <w:r w:rsidR="00775D87" w:rsidRPr="00750F30">
        <w:rPr>
          <w:b/>
          <w:i/>
        </w:rPr>
        <w:t>private insurance c</w:t>
      </w:r>
      <w:r w:rsidRPr="00750F30">
        <w:rPr>
          <w:b/>
          <w:i/>
        </w:rPr>
        <w:t>ompanies are considering forming an appropriate local coinsurance pool structure to underwrite</w:t>
      </w:r>
      <w:r w:rsidR="003A116E" w:rsidRPr="00750F30">
        <w:rPr>
          <w:b/>
          <w:i/>
        </w:rPr>
        <w:t xml:space="preserve"> the NDVI program for livestock producers in SWBA and which </w:t>
      </w:r>
      <w:r w:rsidR="00F53B77" w:rsidRPr="00750F30">
        <w:rPr>
          <w:b/>
          <w:i/>
        </w:rPr>
        <w:t xml:space="preserve">in principle has been </w:t>
      </w:r>
      <w:r w:rsidR="003A116E" w:rsidRPr="00750F30">
        <w:rPr>
          <w:b/>
          <w:i/>
        </w:rPr>
        <w:t>approved by the Superintendent of Insurance</w:t>
      </w:r>
      <w:r w:rsidR="001A24FC" w:rsidRPr="00750F30">
        <w:rPr>
          <w:b/>
          <w:i/>
        </w:rPr>
        <w:t>.</w:t>
      </w:r>
      <w:r w:rsidR="001A24FC" w:rsidRPr="00FE24C0">
        <w:rPr>
          <w:i/>
        </w:rPr>
        <w:t xml:space="preserve"> </w:t>
      </w:r>
      <w:r w:rsidR="001A24FC" w:rsidRPr="00D23F25">
        <w:t>The 5 leading Argentinean Insurance Companies listed above have expressed an interest in underwriting any eventual NDVI pasture insurance program under some form of coinsurance Pool structure. These companies were previously involved in the mid 2000’s in underwriting a subsidized grape-hail insurance program for the Provincial Government in Mendoza where they operated as a coinsurance pool. These companies are therefore very familiar with the potential advantages of forming a coinsurance pool to underwrite the NDVI for livestock producers in SWBA. The SSN has again advised its agreement, in principle, to the SWBA NDVI Program being coinsured under a Pool agreement. Potential advantages of Pools include: i) cost-sharing in the research and development and start-up stages, ii) cost-savings in establishing a single underwriting unit, staffing and equipment, either within the lead coinsurer or as a separate underwriting entity, and iii) major cost savings in purchasing pooled reinsurance (common account) protection. Further information on the advantages and disadvantages of Coinsurance Pools are contained in Box 6.1.</w:t>
      </w:r>
      <w:r w:rsidR="001A24FC" w:rsidRPr="00FE24C0">
        <w:rPr>
          <w:i/>
        </w:rPr>
        <w:t xml:space="preserve"> </w:t>
      </w:r>
    </w:p>
    <w:p w:rsidR="0065105C" w:rsidRPr="00FE24C0" w:rsidRDefault="00775D87" w:rsidP="00EF4AC4">
      <w:pPr>
        <w:pStyle w:val="HeadFiguresTablesBoxes"/>
      </w:pPr>
      <w:r w:rsidRPr="00FE24C0">
        <w:t>Box 6</w:t>
      </w:r>
      <w:r w:rsidR="0065105C" w:rsidRPr="00FE24C0">
        <w:t>.1. Benefits and Limitations of Coinsurance Pool Arrangements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0"/>
      </w:tblGrid>
      <w:tr w:rsidR="0065105C" w:rsidRPr="00FE24C0" w:rsidTr="005B1FB0">
        <w:tc>
          <w:tcPr>
            <w:tcW w:w="8640" w:type="dxa"/>
            <w:shd w:val="clear" w:color="auto" w:fill="BFBFBF"/>
          </w:tcPr>
          <w:p w:rsidR="0065105C" w:rsidRPr="008B1279" w:rsidRDefault="0065105C" w:rsidP="00CC2C23">
            <w:pPr>
              <w:tabs>
                <w:tab w:val="left" w:pos="0"/>
              </w:tabs>
              <w:spacing w:after="0"/>
              <w:rPr>
                <w:b/>
                <w:sz w:val="20"/>
                <w:szCs w:val="20"/>
              </w:rPr>
            </w:pPr>
            <w:r w:rsidRPr="008B1279">
              <w:rPr>
                <w:b/>
                <w:sz w:val="20"/>
                <w:szCs w:val="20"/>
              </w:rPr>
              <w:t>Benefits</w:t>
            </w:r>
          </w:p>
          <w:p w:rsidR="0065105C" w:rsidRPr="008B1279" w:rsidRDefault="0065105C" w:rsidP="00CC2C23">
            <w:pPr>
              <w:tabs>
                <w:tab w:val="left" w:pos="0"/>
              </w:tabs>
              <w:spacing w:after="0"/>
              <w:rPr>
                <w:b/>
                <w:sz w:val="17"/>
                <w:szCs w:val="17"/>
              </w:rPr>
            </w:pPr>
          </w:p>
          <w:p w:rsidR="0065105C" w:rsidRPr="008B1279" w:rsidRDefault="0065105C" w:rsidP="00CC2C23">
            <w:pPr>
              <w:tabs>
                <w:tab w:val="left" w:pos="0"/>
              </w:tabs>
              <w:spacing w:after="0"/>
              <w:rPr>
                <w:b/>
                <w:sz w:val="17"/>
                <w:szCs w:val="17"/>
              </w:rPr>
            </w:pPr>
            <w:r w:rsidRPr="008B1279">
              <w:rPr>
                <w:b/>
                <w:sz w:val="17"/>
                <w:szCs w:val="17"/>
              </w:rPr>
              <w:t>Economies of scale through operating as a single entity with shared (pooled) administration and operating functions leading to costs savings due to:</w:t>
            </w:r>
          </w:p>
          <w:p w:rsidR="0065105C" w:rsidRPr="008B1279" w:rsidRDefault="0065105C" w:rsidP="00CC2C23">
            <w:pPr>
              <w:tabs>
                <w:tab w:val="left" w:pos="0"/>
              </w:tabs>
              <w:spacing w:after="0"/>
              <w:rPr>
                <w:sz w:val="17"/>
                <w:szCs w:val="17"/>
              </w:rPr>
            </w:pPr>
            <w:r w:rsidRPr="008B1279">
              <w:rPr>
                <w:sz w:val="17"/>
                <w:szCs w:val="17"/>
              </w:rPr>
              <w:t>* Reduced staffing requirements (fixed costs);</w:t>
            </w:r>
          </w:p>
          <w:p w:rsidR="0065105C" w:rsidRPr="008B1279" w:rsidRDefault="0065105C" w:rsidP="00CC2C23">
            <w:pPr>
              <w:tabs>
                <w:tab w:val="left" w:pos="0"/>
              </w:tabs>
              <w:spacing w:after="0"/>
              <w:rPr>
                <w:sz w:val="17"/>
                <w:szCs w:val="17"/>
              </w:rPr>
            </w:pPr>
            <w:r w:rsidRPr="008B1279">
              <w:rPr>
                <w:sz w:val="17"/>
                <w:szCs w:val="17"/>
              </w:rPr>
              <w:t>* Shared costs of product research and development, actuarial and rating;</w:t>
            </w:r>
          </w:p>
          <w:p w:rsidR="0065105C" w:rsidRPr="008B1279" w:rsidRDefault="0065105C" w:rsidP="00CC2C23">
            <w:pPr>
              <w:tabs>
                <w:tab w:val="left" w:pos="0"/>
              </w:tabs>
              <w:spacing w:after="0"/>
              <w:rPr>
                <w:sz w:val="17"/>
                <w:szCs w:val="17"/>
              </w:rPr>
            </w:pPr>
            <w:r w:rsidRPr="008B1279">
              <w:rPr>
                <w:sz w:val="17"/>
                <w:szCs w:val="17"/>
              </w:rPr>
              <w:t xml:space="preserve">* Reduced costs of underwriting and claims control and loss adjustment. </w:t>
            </w:r>
          </w:p>
          <w:p w:rsidR="0065105C" w:rsidRPr="008B1279" w:rsidRDefault="0065105C" w:rsidP="00CC2C23">
            <w:pPr>
              <w:tabs>
                <w:tab w:val="left" w:pos="0"/>
              </w:tabs>
              <w:spacing w:after="0"/>
              <w:rPr>
                <w:sz w:val="10"/>
                <w:szCs w:val="10"/>
              </w:rPr>
            </w:pPr>
          </w:p>
          <w:p w:rsidR="0065105C" w:rsidRPr="008B1279" w:rsidRDefault="0065105C" w:rsidP="008B1279">
            <w:pPr>
              <w:pStyle w:val="Textoindependiente3"/>
            </w:pPr>
            <w:r w:rsidRPr="008B1279">
              <w:t>Cost advantages in purchasing common account (pooled) reinsurance protection rather than each company trying to place its own reinsurance program.  Advantages due to:</w:t>
            </w:r>
          </w:p>
          <w:p w:rsidR="0065105C" w:rsidRPr="008B1279" w:rsidRDefault="0065105C" w:rsidP="00CC2C23">
            <w:pPr>
              <w:tabs>
                <w:tab w:val="left" w:pos="0"/>
              </w:tabs>
              <w:spacing w:after="0"/>
              <w:rPr>
                <w:sz w:val="17"/>
                <w:szCs w:val="17"/>
              </w:rPr>
            </w:pPr>
            <w:r w:rsidRPr="008B1279">
              <w:rPr>
                <w:sz w:val="17"/>
                <w:szCs w:val="17"/>
              </w:rPr>
              <w:t>* Stronger negotiating position with reinsurers;</w:t>
            </w:r>
          </w:p>
          <w:p w:rsidR="0065105C" w:rsidRPr="008B1279" w:rsidRDefault="0065105C" w:rsidP="00CC2C23">
            <w:pPr>
              <w:tabs>
                <w:tab w:val="left" w:pos="0"/>
              </w:tabs>
              <w:spacing w:after="0"/>
              <w:rPr>
                <w:sz w:val="17"/>
                <w:szCs w:val="17"/>
              </w:rPr>
            </w:pPr>
            <w:r w:rsidRPr="008B1279">
              <w:rPr>
                <w:sz w:val="17"/>
                <w:szCs w:val="17"/>
              </w:rPr>
              <w:t>* Larger and more balanced portfolio and better spread of risk;</w:t>
            </w:r>
          </w:p>
          <w:p w:rsidR="0065105C" w:rsidRPr="008B1279" w:rsidRDefault="0065105C" w:rsidP="00CC2C23">
            <w:pPr>
              <w:tabs>
                <w:tab w:val="left" w:pos="0"/>
              </w:tabs>
              <w:spacing w:after="0"/>
              <w:rPr>
                <w:sz w:val="17"/>
                <w:szCs w:val="17"/>
              </w:rPr>
            </w:pPr>
            <w:r w:rsidRPr="008B1279">
              <w:rPr>
                <w:sz w:val="17"/>
                <w:szCs w:val="17"/>
              </w:rPr>
              <w:t>* Reduced costs of reinsurance due to pooled risk exposure;</w:t>
            </w:r>
          </w:p>
          <w:p w:rsidR="0065105C" w:rsidRPr="008B1279" w:rsidRDefault="0065105C" w:rsidP="00CC2C23">
            <w:pPr>
              <w:tabs>
                <w:tab w:val="left" w:pos="0"/>
              </w:tabs>
              <w:spacing w:after="0"/>
              <w:rPr>
                <w:sz w:val="17"/>
                <w:szCs w:val="17"/>
              </w:rPr>
            </w:pPr>
            <w:r w:rsidRPr="008B1279">
              <w:rPr>
                <w:sz w:val="17"/>
                <w:szCs w:val="17"/>
              </w:rPr>
              <w:t>* Reduced transaction costs (reinsurance brokerage, etc).</w:t>
            </w:r>
          </w:p>
          <w:p w:rsidR="0065105C" w:rsidRPr="008B1279" w:rsidRDefault="0065105C" w:rsidP="00CC2C23">
            <w:pPr>
              <w:tabs>
                <w:tab w:val="left" w:pos="0"/>
              </w:tabs>
              <w:spacing w:after="0"/>
              <w:rPr>
                <w:sz w:val="10"/>
                <w:szCs w:val="10"/>
              </w:rPr>
            </w:pPr>
          </w:p>
          <w:p w:rsidR="0065105C" w:rsidRPr="008B1279" w:rsidRDefault="0065105C" w:rsidP="00CC2C23">
            <w:pPr>
              <w:tabs>
                <w:tab w:val="left" w:pos="0"/>
              </w:tabs>
              <w:spacing w:after="0"/>
              <w:rPr>
                <w:sz w:val="17"/>
                <w:szCs w:val="17"/>
              </w:rPr>
            </w:pPr>
            <w:r w:rsidRPr="008B1279">
              <w:rPr>
                <w:b/>
                <w:sz w:val="17"/>
                <w:szCs w:val="17"/>
              </w:rPr>
              <w:t>No competition on rates in a soft market and ability to maintain technically set rates.</w:t>
            </w:r>
            <w:r w:rsidRPr="008B1279">
              <w:rPr>
                <w:sz w:val="17"/>
                <w:szCs w:val="17"/>
              </w:rPr>
              <w:t xml:space="preserve">  Most pools operate as the sole insurance provided or monopoly (e.g. Austria, Senegal, Spain, Turkey), and there is therefore no competition on pricing. </w:t>
            </w:r>
          </w:p>
          <w:p w:rsidR="0065105C" w:rsidRPr="008B1279" w:rsidRDefault="0065105C" w:rsidP="00CC2C23">
            <w:pPr>
              <w:tabs>
                <w:tab w:val="left" w:pos="0"/>
              </w:tabs>
              <w:spacing w:after="0"/>
              <w:rPr>
                <w:sz w:val="10"/>
                <w:szCs w:val="10"/>
              </w:rPr>
            </w:pPr>
          </w:p>
          <w:p w:rsidR="0065105C" w:rsidRPr="008B1279" w:rsidRDefault="0065105C" w:rsidP="00CC2C23">
            <w:pPr>
              <w:tabs>
                <w:tab w:val="left" w:pos="0"/>
              </w:tabs>
              <w:spacing w:after="0"/>
              <w:rPr>
                <w:sz w:val="17"/>
                <w:szCs w:val="17"/>
              </w:rPr>
            </w:pPr>
            <w:r w:rsidRPr="008B1279">
              <w:rPr>
                <w:b/>
                <w:sz w:val="17"/>
                <w:szCs w:val="17"/>
              </w:rPr>
              <w:t>Ability to maintain underwriting and loss adjustment standards.</w:t>
            </w:r>
            <w:r w:rsidRPr="008B1279">
              <w:rPr>
                <w:sz w:val="17"/>
                <w:szCs w:val="17"/>
              </w:rPr>
              <w:t xml:space="preserve">  Under a pool monopoly arrangement, the pool manager can ensure that common and high standards are maintained in the underwriting of crop and livestock insurance and in the adjusting of claims.  Where companies are competing against each other for standard crop insurance business, there is often a problem of varying loss adjustment standards between companies.</w:t>
            </w:r>
          </w:p>
          <w:p w:rsidR="0065105C" w:rsidRPr="008B1279" w:rsidRDefault="0065105C" w:rsidP="00CC2C23">
            <w:pPr>
              <w:tabs>
                <w:tab w:val="left" w:pos="0"/>
              </w:tabs>
              <w:spacing w:after="0"/>
              <w:rPr>
                <w:sz w:val="17"/>
                <w:szCs w:val="17"/>
              </w:rPr>
            </w:pPr>
          </w:p>
          <w:p w:rsidR="0065105C" w:rsidRPr="008B1279" w:rsidRDefault="0065105C" w:rsidP="00CC2C23">
            <w:pPr>
              <w:tabs>
                <w:tab w:val="left" w:pos="0"/>
              </w:tabs>
              <w:spacing w:after="0"/>
              <w:rPr>
                <w:b/>
                <w:sz w:val="20"/>
                <w:szCs w:val="20"/>
              </w:rPr>
            </w:pPr>
            <w:r w:rsidRPr="008B1279">
              <w:rPr>
                <w:b/>
                <w:sz w:val="20"/>
                <w:szCs w:val="20"/>
              </w:rPr>
              <w:t>Limitations</w:t>
            </w:r>
          </w:p>
          <w:p w:rsidR="0065105C" w:rsidRPr="008B1279" w:rsidRDefault="0065105C" w:rsidP="00CC2C23">
            <w:pPr>
              <w:tabs>
                <w:tab w:val="left" w:pos="0"/>
              </w:tabs>
              <w:spacing w:after="0"/>
              <w:rPr>
                <w:b/>
                <w:sz w:val="17"/>
                <w:szCs w:val="17"/>
              </w:rPr>
            </w:pPr>
          </w:p>
          <w:p w:rsidR="0065105C" w:rsidRPr="008B1279" w:rsidRDefault="00775D87" w:rsidP="00CC2C23">
            <w:pPr>
              <w:tabs>
                <w:tab w:val="left" w:pos="0"/>
              </w:tabs>
              <w:spacing w:after="0"/>
              <w:rPr>
                <w:b/>
                <w:sz w:val="17"/>
                <w:szCs w:val="17"/>
              </w:rPr>
            </w:pPr>
            <w:r w:rsidRPr="008B1279">
              <w:rPr>
                <w:b/>
                <w:sz w:val="17"/>
                <w:szCs w:val="17"/>
              </w:rPr>
              <w:t xml:space="preserve">A </w:t>
            </w:r>
            <w:r w:rsidR="0065105C" w:rsidRPr="008B1279">
              <w:rPr>
                <w:b/>
                <w:sz w:val="17"/>
                <w:szCs w:val="17"/>
              </w:rPr>
              <w:t>Pool may act as the sole agricultural insurer, resulting in lack of competition in the market in terms of the:</w:t>
            </w:r>
          </w:p>
          <w:p w:rsidR="0065105C" w:rsidRPr="008B1279" w:rsidRDefault="0065105C" w:rsidP="00CC2C23">
            <w:pPr>
              <w:tabs>
                <w:tab w:val="left" w:pos="0"/>
              </w:tabs>
              <w:spacing w:after="0"/>
              <w:rPr>
                <w:sz w:val="17"/>
                <w:szCs w:val="17"/>
              </w:rPr>
            </w:pPr>
            <w:r w:rsidRPr="008B1279">
              <w:rPr>
                <w:sz w:val="17"/>
                <w:szCs w:val="17"/>
              </w:rPr>
              <w:t>* Range of products and services offered by the monopoly pool underwriter;</w:t>
            </w:r>
          </w:p>
          <w:p w:rsidR="0065105C" w:rsidRPr="008B1279" w:rsidRDefault="0065105C" w:rsidP="00CC2C23">
            <w:pPr>
              <w:tabs>
                <w:tab w:val="left" w:pos="0"/>
              </w:tabs>
              <w:spacing w:after="0"/>
              <w:rPr>
                <w:sz w:val="17"/>
                <w:szCs w:val="17"/>
              </w:rPr>
            </w:pPr>
            <w:r w:rsidRPr="008B1279">
              <w:rPr>
                <w:sz w:val="17"/>
                <w:szCs w:val="17"/>
              </w:rPr>
              <w:t>* Restrictions on the range of perils which are insured;</w:t>
            </w:r>
          </w:p>
          <w:p w:rsidR="0065105C" w:rsidRPr="008B1279" w:rsidRDefault="0065105C" w:rsidP="00CC2C23">
            <w:pPr>
              <w:tabs>
                <w:tab w:val="left" w:pos="0"/>
              </w:tabs>
              <w:spacing w:after="0"/>
              <w:rPr>
                <w:bCs/>
                <w:iCs/>
                <w:sz w:val="17"/>
                <w:szCs w:val="17"/>
              </w:rPr>
            </w:pPr>
            <w:r w:rsidRPr="008B1279">
              <w:rPr>
                <w:sz w:val="17"/>
                <w:szCs w:val="17"/>
              </w:rPr>
              <w:t xml:space="preserve">* Restrictions on the </w:t>
            </w:r>
            <w:r w:rsidRPr="008B1279">
              <w:rPr>
                <w:bCs/>
                <w:iCs/>
                <w:sz w:val="17"/>
                <w:szCs w:val="17"/>
              </w:rPr>
              <w:t xml:space="preserve">regions where agricultural insurance is offered </w:t>
            </w:r>
            <w:r w:rsidR="00DD61AE" w:rsidRPr="008B1279">
              <w:rPr>
                <w:bCs/>
                <w:iCs/>
                <w:sz w:val="17"/>
                <w:szCs w:val="17"/>
              </w:rPr>
              <w:t>or</w:t>
            </w:r>
            <w:r w:rsidRPr="008B1279">
              <w:rPr>
                <w:bCs/>
                <w:iCs/>
                <w:sz w:val="17"/>
                <w:szCs w:val="17"/>
              </w:rPr>
              <w:t xml:space="preserve"> the type of farmer insured;</w:t>
            </w:r>
          </w:p>
          <w:p w:rsidR="0065105C" w:rsidRPr="008B1279" w:rsidRDefault="0065105C" w:rsidP="00CC2C23">
            <w:pPr>
              <w:tabs>
                <w:tab w:val="left" w:pos="0"/>
              </w:tabs>
              <w:spacing w:after="0"/>
              <w:rPr>
                <w:bCs/>
                <w:iCs/>
                <w:sz w:val="17"/>
                <w:szCs w:val="17"/>
              </w:rPr>
            </w:pPr>
            <w:r w:rsidRPr="008B1279">
              <w:rPr>
                <w:bCs/>
                <w:iCs/>
                <w:sz w:val="17"/>
                <w:szCs w:val="17"/>
              </w:rPr>
              <w:t>* Lack of competitiveness in premium rates charged by the pool.</w:t>
            </w:r>
          </w:p>
          <w:p w:rsidR="0065105C" w:rsidRPr="008B1279" w:rsidRDefault="0065105C" w:rsidP="00CC2C23">
            <w:pPr>
              <w:tabs>
                <w:tab w:val="left" w:pos="0"/>
              </w:tabs>
              <w:spacing w:after="0"/>
              <w:rPr>
                <w:bCs/>
                <w:iCs/>
                <w:sz w:val="17"/>
                <w:szCs w:val="17"/>
              </w:rPr>
            </w:pPr>
          </w:p>
          <w:p w:rsidR="0065105C" w:rsidRPr="00FE24C0" w:rsidRDefault="0065105C" w:rsidP="008B1279">
            <w:pPr>
              <w:tabs>
                <w:tab w:val="left" w:pos="0"/>
              </w:tabs>
              <w:spacing w:after="120"/>
              <w:rPr>
                <w:bCs/>
                <w:i/>
                <w:iCs/>
                <w:sz w:val="16"/>
                <w:szCs w:val="16"/>
              </w:rPr>
            </w:pPr>
            <w:r w:rsidRPr="008B1279">
              <w:rPr>
                <w:bCs/>
                <w:i/>
                <w:iCs/>
                <w:sz w:val="17"/>
                <w:szCs w:val="17"/>
              </w:rPr>
              <w:t xml:space="preserve">Source: </w:t>
            </w:r>
            <w:r w:rsidR="00775D87" w:rsidRPr="008B1279">
              <w:rPr>
                <w:bCs/>
                <w:iCs/>
                <w:sz w:val="17"/>
                <w:szCs w:val="17"/>
              </w:rPr>
              <w:t>Mahul &amp; Stutley 2010</w:t>
            </w:r>
          </w:p>
        </w:tc>
      </w:tr>
    </w:tbl>
    <w:p w:rsidR="000C6233" w:rsidRPr="00FE24C0" w:rsidRDefault="00FA1835" w:rsidP="00D23F25">
      <w:pPr>
        <w:pStyle w:val="WBReport"/>
      </w:pPr>
      <w:r w:rsidRPr="00750F30">
        <w:rPr>
          <w:b/>
          <w:i/>
        </w:rPr>
        <w:lastRenderedPageBreak/>
        <w:t xml:space="preserve">An outline Institutional structure for the NDVI coinsurance Pool is shown in Figure </w:t>
      </w:r>
      <w:r w:rsidR="00125708" w:rsidRPr="00750F30">
        <w:rPr>
          <w:b/>
          <w:i/>
        </w:rPr>
        <w:t>6.</w:t>
      </w:r>
      <w:r w:rsidRPr="00750F30">
        <w:rPr>
          <w:b/>
          <w:i/>
        </w:rPr>
        <w:t>1</w:t>
      </w:r>
      <w:r w:rsidR="001A24FC" w:rsidRPr="00750F30">
        <w:rPr>
          <w:b/>
          <w:i/>
        </w:rPr>
        <w:t xml:space="preserve">. </w:t>
      </w:r>
      <w:r w:rsidR="001A24FC" w:rsidRPr="00D23F25">
        <w:t>Under the Coinsurance option it is assumed that one of the participating companies will act as the Pool leader with regard to issuing a Master Policy to the Insured (The Federal Government or Provincial Government of Buenos Aires Province) and for ensuring that a schedule is annexed to the Policy containing for each Department and Cuartel (Insured Unit) in SWBA full details of all insured cattle producers (the beneficiaries), their livestock holdings (number of cattle) and the corresponding sum insured per registered producer. The Government would be responsible for payment of premium to the Pool leader. The Pool coinsurers would purchase common account reinsurance protection from local and or international reinsurers. The Pool would need to enter into a contractual agreement with a third party remote sensing operator to provide regular reporting throughout the cover period of the actual monthly average NDVI values in each Insured Unit and on which basis claims payouts will be triggered if the thresholds are exceeded (discussed further below).</w:t>
      </w:r>
    </w:p>
    <w:p w:rsidR="004D00C6" w:rsidRPr="00FE24C0" w:rsidRDefault="004D00C6" w:rsidP="00EF4AC4">
      <w:pPr>
        <w:pStyle w:val="HeadFiguresTablesBoxes"/>
      </w:pPr>
      <w:proofErr w:type="gramStart"/>
      <w:r w:rsidRPr="00FE24C0">
        <w:t>Figure 6.1.</w:t>
      </w:r>
      <w:proofErr w:type="gramEnd"/>
      <w:r w:rsidRPr="00FE24C0">
        <w:t xml:space="preserve"> Outline Institutional Framework for </w:t>
      </w:r>
      <w:r w:rsidR="006117DA" w:rsidRPr="00FE24C0">
        <w:t xml:space="preserve">Macro-Level </w:t>
      </w:r>
      <w:r w:rsidRPr="00FE24C0">
        <w:t xml:space="preserve">Livestock NDVI Insurance </w:t>
      </w:r>
      <w:r w:rsidR="006117DA" w:rsidRPr="00FE24C0">
        <w:t xml:space="preserve">for Government </w:t>
      </w:r>
      <w:r w:rsidRPr="00FE24C0">
        <w:t>in SWBA</w:t>
      </w:r>
    </w:p>
    <w:p w:rsidR="0079701E" w:rsidRPr="00FE24C0" w:rsidRDefault="00130500" w:rsidP="0079701E">
      <w:pPr>
        <w:pStyle w:val="APDroughtPara"/>
        <w:numPr>
          <w:ilvl w:val="0"/>
          <w:numId w:val="0"/>
        </w:numPr>
        <w:spacing w:after="120"/>
        <w:ind w:left="357"/>
        <w:outlineLvl w:val="9"/>
        <w:rPr>
          <w:b/>
          <w:color w:val="0070C0"/>
          <w:sz w:val="20"/>
          <w:szCs w:val="20"/>
        </w:rPr>
      </w:pPr>
      <w:r w:rsidRPr="00FE24C0">
        <w:rPr>
          <w:b/>
          <w:noProof/>
          <w:color w:val="0070C0"/>
          <w:sz w:val="20"/>
          <w:szCs w:val="20"/>
          <w:lang w:val="es-AR" w:eastAsia="es-AR"/>
        </w:rPr>
        <w:drawing>
          <wp:inline distT="0" distB="0" distL="0" distR="0">
            <wp:extent cx="4572000" cy="342392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72000" cy="3423920"/>
                    </a:xfrm>
                    <a:prstGeom prst="rect">
                      <a:avLst/>
                    </a:prstGeom>
                    <a:noFill/>
                    <a:ln w="9525">
                      <a:noFill/>
                      <a:miter lim="800000"/>
                      <a:headEnd/>
                      <a:tailEnd/>
                    </a:ln>
                  </pic:spPr>
                </pic:pic>
              </a:graphicData>
            </a:graphic>
          </wp:inline>
        </w:drawing>
      </w:r>
    </w:p>
    <w:p w:rsidR="004D00C6" w:rsidRPr="00FE24C0" w:rsidRDefault="004D00C6" w:rsidP="000E35EC">
      <w:pPr>
        <w:pStyle w:val="Source"/>
      </w:pPr>
      <w:r w:rsidRPr="00FE24C0">
        <w:t>Source: Authors</w:t>
      </w:r>
    </w:p>
    <w:p w:rsidR="004D00C6" w:rsidRPr="00FE24C0" w:rsidRDefault="004D00C6" w:rsidP="004D00C6">
      <w:pPr>
        <w:pStyle w:val="APDroughtPara"/>
        <w:numPr>
          <w:ilvl w:val="0"/>
          <w:numId w:val="0"/>
        </w:numPr>
        <w:outlineLvl w:val="9"/>
        <w:rPr>
          <w:b/>
          <w:sz w:val="24"/>
          <w:szCs w:val="22"/>
          <w:u w:val="single"/>
        </w:rPr>
      </w:pPr>
      <w:r w:rsidRPr="00FE24C0">
        <w:rPr>
          <w:b/>
          <w:sz w:val="24"/>
          <w:szCs w:val="22"/>
          <w:u w:val="single"/>
        </w:rPr>
        <w:t xml:space="preserve">Linkages with the </w:t>
      </w:r>
      <w:r w:rsidR="00291F28" w:rsidRPr="00FE24C0">
        <w:rPr>
          <w:b/>
          <w:sz w:val="24"/>
          <w:szCs w:val="22"/>
          <w:u w:val="single"/>
        </w:rPr>
        <w:t>Agricultur</w:t>
      </w:r>
      <w:r w:rsidR="00D9453C" w:rsidRPr="00FE24C0">
        <w:rPr>
          <w:b/>
          <w:sz w:val="24"/>
          <w:szCs w:val="22"/>
          <w:u w:val="single"/>
        </w:rPr>
        <w:t>al Crop</w:t>
      </w:r>
      <w:r w:rsidR="00291F28" w:rsidRPr="00FE24C0">
        <w:rPr>
          <w:b/>
          <w:sz w:val="24"/>
          <w:szCs w:val="22"/>
          <w:u w:val="single"/>
        </w:rPr>
        <w:t xml:space="preserve"> and Livestock Emergenc</w:t>
      </w:r>
      <w:r w:rsidR="00D9453C" w:rsidRPr="00FE24C0">
        <w:rPr>
          <w:b/>
          <w:sz w:val="24"/>
          <w:szCs w:val="22"/>
          <w:u w:val="single"/>
        </w:rPr>
        <w:t>y</w:t>
      </w:r>
      <w:r w:rsidR="00291F28" w:rsidRPr="00FE24C0">
        <w:rPr>
          <w:b/>
          <w:sz w:val="24"/>
          <w:szCs w:val="22"/>
          <w:u w:val="single"/>
        </w:rPr>
        <w:t xml:space="preserve"> or Disaster </w:t>
      </w:r>
      <w:r w:rsidRPr="00FE24C0">
        <w:rPr>
          <w:b/>
          <w:sz w:val="24"/>
          <w:szCs w:val="22"/>
          <w:u w:val="single"/>
        </w:rPr>
        <w:t xml:space="preserve">Program </w:t>
      </w:r>
    </w:p>
    <w:p w:rsidR="000C6233" w:rsidRPr="00750F30" w:rsidRDefault="000338A6" w:rsidP="00750F30">
      <w:pPr>
        <w:pStyle w:val="WBReport"/>
      </w:pPr>
      <w:r w:rsidRPr="00750F30">
        <w:rPr>
          <w:b/>
          <w:i/>
        </w:rPr>
        <w:t xml:space="preserve">Since 1983, Argentina has operated </w:t>
      </w:r>
      <w:r w:rsidR="00291F28" w:rsidRPr="00750F30">
        <w:rPr>
          <w:b/>
          <w:i/>
        </w:rPr>
        <w:t xml:space="preserve">in one form or another both </w:t>
      </w:r>
      <w:r w:rsidRPr="00750F30">
        <w:rPr>
          <w:b/>
          <w:i/>
        </w:rPr>
        <w:t xml:space="preserve">National and Provincial systems for </w:t>
      </w:r>
      <w:r w:rsidR="00291F28" w:rsidRPr="00750F30">
        <w:rPr>
          <w:b/>
          <w:i/>
        </w:rPr>
        <w:t>the Prevention and Mitigation of Agricultural and Livestock Emergencies and Disasters</w:t>
      </w:r>
      <w:r w:rsidR="001A24FC" w:rsidRPr="00750F30">
        <w:rPr>
          <w:b/>
          <w:i/>
        </w:rPr>
        <w:t xml:space="preserve">. </w:t>
      </w:r>
      <w:r w:rsidR="001A24FC" w:rsidRPr="00D23F25">
        <w:t xml:space="preserve">The national program is managed by Agriculture and Livestock Emergency Division of MAGyP and has a national fund FONEDA with an annual budget of AR$ 500 million to attend to agricultural and livestock sector emergency and disaster prevention and relief throughout the country. Assistance to crop or livestock producers in affected zones typically takes the form of concessionary rates of interest on lines of credit to rehabilitate farms after the </w:t>
      </w:r>
      <w:proofErr w:type="gramStart"/>
      <w:r w:rsidR="001A24FC" w:rsidRPr="00D23F25">
        <w:t>damage,</w:t>
      </w:r>
      <w:proofErr w:type="gramEnd"/>
      <w:r w:rsidR="001A24FC" w:rsidRPr="00D23F25">
        <w:t xml:space="preserve"> or tax relief on crop and livestock sales. The features of the program and financial relief </w:t>
      </w:r>
      <w:r w:rsidR="001A24FC" w:rsidRPr="00D23F25">
        <w:lastRenderedPageBreak/>
        <w:t>measures for crop and livestock producers are presented in Box 6.2</w:t>
      </w:r>
    </w:p>
    <w:p w:rsidR="008B1279" w:rsidRPr="00FE24C0" w:rsidRDefault="008B1279" w:rsidP="008B1279">
      <w:pPr>
        <w:pStyle w:val="HeadFiguresTablesBoxes"/>
      </w:pPr>
      <w:r w:rsidRPr="00FE24C0">
        <w:t xml:space="preserve">Box 6.2. Key Features of the National System for the Prevention and Mitigation of Agricultural and Livestock Emergencies and Disasters (Law No 26509/09) </w:t>
      </w:r>
    </w:p>
    <w:p w:rsidR="008B1279" w:rsidRPr="00FE24C0" w:rsidRDefault="008B1279" w:rsidP="008B1279">
      <w:pPr>
        <w:pStyle w:val="BoxContent"/>
      </w:pPr>
      <w:r w:rsidRPr="00FE24C0">
        <w:t xml:space="preserve">The Law 26509 of 27 August 2009 complements and builds on the Agricultural Emergency Law of 1983.  The Law authorizes the Secretary of Agriculture, Livestock, Fisheries and Food to establish a “National Commission” for the implementation of a National System for the Prevention and Mitigation of Agricultural and Livestock Emergencies and Disasters. </w:t>
      </w:r>
    </w:p>
    <w:p w:rsidR="008B1279" w:rsidRPr="00FE24C0" w:rsidRDefault="008B1279" w:rsidP="008B1279">
      <w:pPr>
        <w:pStyle w:val="BoxContent"/>
      </w:pPr>
      <w:r w:rsidRPr="00FE24C0">
        <w:t xml:space="preserve">For an emergency to be declared farmers in the affected zone must have incurred minimum production losses </w:t>
      </w:r>
      <w:r>
        <w:t xml:space="preserve">or production capacity losses </w:t>
      </w:r>
      <w:r w:rsidRPr="00FE24C0">
        <w:t xml:space="preserve">of at least 50%; for a disaster to be declared, </w:t>
      </w:r>
      <w:r>
        <w:t xml:space="preserve">production </w:t>
      </w:r>
      <w:r w:rsidRPr="00FE24C0">
        <w:t xml:space="preserve">losses </w:t>
      </w:r>
      <w:r>
        <w:t xml:space="preserve">or production capacity losses </w:t>
      </w:r>
      <w:r w:rsidRPr="00FE24C0">
        <w:t>must exceed 80% of production.</w:t>
      </w:r>
    </w:p>
    <w:p w:rsidR="008B1279" w:rsidRPr="00FE24C0" w:rsidRDefault="008B1279" w:rsidP="008B1279">
      <w:pPr>
        <w:pStyle w:val="BoxContent"/>
      </w:pPr>
      <w:r w:rsidRPr="00FE24C0">
        <w:t>In order to finance the system a National Fund for the Mitigation of Agricultural and Livestock Emergencies and Disasters (FONEDA) was created with a</w:t>
      </w:r>
      <w:r>
        <w:t xml:space="preserve"> minimum</w:t>
      </w:r>
      <w:r w:rsidRPr="00FE24C0">
        <w:t xml:space="preserve"> annual budget of AR$ 500 million and administered by the Ministry of Production.  </w:t>
      </w:r>
    </w:p>
    <w:p w:rsidR="008B1279" w:rsidRPr="00FE24C0" w:rsidRDefault="008B1279" w:rsidP="008B1279">
      <w:pPr>
        <w:pStyle w:val="BoxContent"/>
      </w:pPr>
      <w:r w:rsidRPr="00FE24C0">
        <w:t>The resources of FONEDA are destined for a combination of direct financial assistance in equipment and installations to reduce the vulnerability of farmers and the provision of special lines of credit (Article 21) and subsidies of between 25% and 50% on the interest payments on lines of credit destined to recuperate the damages (Article 22), and special exemptions or extensions on the payment of agricultural property and income taxes (Article 23)</w:t>
      </w:r>
      <w:r>
        <w:t>.</w:t>
      </w:r>
    </w:p>
    <w:p w:rsidR="008B1279" w:rsidRPr="00FE24C0" w:rsidRDefault="008B1279" w:rsidP="008B1279">
      <w:pPr>
        <w:pStyle w:val="BoxContent"/>
      </w:pPr>
      <w:r w:rsidRPr="00FE24C0">
        <w:t>In the case of forced sales of livestock (cattle, sheep, goats and pigs) due to damaged pasture and grazing, livestock producers are permitted to deduct 100% of the sales value of the animals from their income tax.  A forced sale is considered where the number of heads of animals sold by the owner in areas declared an emergency or a disaster must exceed the average sales made by the owner for the past 2 years. To quali</w:t>
      </w:r>
      <w:r>
        <w:t>f</w:t>
      </w:r>
      <w:r w:rsidRPr="00FE24C0">
        <w:t>y for this tax break the livestock owner must also replace at least 50% of the same species of the livestock by the end of the fourth year after the event.</w:t>
      </w:r>
    </w:p>
    <w:p w:rsidR="008B1279" w:rsidRDefault="008B1279" w:rsidP="008B1279">
      <w:pPr>
        <w:pStyle w:val="BoxContent"/>
        <w:spacing w:after="120"/>
      </w:pPr>
      <w:r w:rsidRPr="00FE24C0">
        <w:t>Source: Ley 26509/2009</w:t>
      </w:r>
    </w:p>
    <w:p w:rsidR="008B1279" w:rsidRPr="00B42C75" w:rsidRDefault="008B1279" w:rsidP="008B1279">
      <w:pPr>
        <w:pStyle w:val="BoxContent"/>
        <w:rPr>
          <w:lang w:val="es-NI"/>
        </w:rPr>
      </w:pPr>
      <w:r w:rsidRPr="006B4309">
        <w:rPr>
          <w:rFonts w:ascii="MS Sans Serif" w:hAnsi="MS Sans Serif"/>
          <w:b/>
          <w:bCs/>
          <w:color w:val="000000"/>
          <w:lang w:val="es-NI"/>
        </w:rPr>
        <w:t>Créase el Sistema Nacional para la Prevención y Mitigación de Emergencias y Desastres Agropecuarios</w:t>
      </w:r>
    </w:p>
    <w:p w:rsidR="008B1279" w:rsidRPr="008B1279" w:rsidRDefault="008B1279" w:rsidP="008B1279"/>
    <w:p w:rsidR="000C6233" w:rsidRPr="00D23F25" w:rsidRDefault="00937F0B" w:rsidP="00D23F25">
      <w:pPr>
        <w:pStyle w:val="WBReport"/>
      </w:pPr>
      <w:r w:rsidRPr="00750F30">
        <w:rPr>
          <w:b/>
          <w:i/>
        </w:rPr>
        <w:t>Under this NDVI Feasibility study it had been hoped to obtain full details on the costs to government of the financial compensation granted under the Agricultural Crop and Livestock Emergency and Disasters program to livestock producers in SWBA during the very severe droughts that have occurred since 2000.</w:t>
      </w:r>
      <w:r w:rsidRPr="00FE24C0">
        <w:rPr>
          <w:i/>
        </w:rPr>
        <w:t xml:space="preserve"> </w:t>
      </w:r>
      <w:r w:rsidR="001A24FC" w:rsidRPr="00D23F25">
        <w:t>This information would have permitted a financial comparison to be made of the costs of ex-post disaster compensation program for livestock producers in SWBA with the indicative commercial premium costs for the proposed ex-ante NDVI pasture index insurance program for livestock producers in SWBA. Unfortunately it is not possible to make this comparison because information on the value of the emergency and disaster-relief measures provided to livestock producers over this period is not available.</w:t>
      </w:r>
    </w:p>
    <w:p w:rsidR="000C6233" w:rsidRPr="00750F30" w:rsidRDefault="007F544F" w:rsidP="00750F30">
      <w:pPr>
        <w:pStyle w:val="WBReport"/>
      </w:pPr>
      <w:r w:rsidRPr="00750F30">
        <w:rPr>
          <w:b/>
          <w:i/>
        </w:rPr>
        <w:t xml:space="preserve">If Government does decide to introduce the macro-level NDVI pasture-drought index insurance program into SWBA in the near future, it is very important </w:t>
      </w:r>
      <w:r w:rsidR="003F04CA" w:rsidRPr="00750F30">
        <w:rPr>
          <w:b/>
          <w:i/>
        </w:rPr>
        <w:t xml:space="preserve">to analyze </w:t>
      </w:r>
      <w:r w:rsidRPr="00750F30">
        <w:rPr>
          <w:b/>
          <w:i/>
        </w:rPr>
        <w:t>the linkages of this insurance program with the National Agricultural and Livestock Emergency and Disaster Prevention and Mitigation scheme</w:t>
      </w:r>
      <w:r w:rsidR="001A24FC" w:rsidRPr="00750F30">
        <w:rPr>
          <w:b/>
          <w:i/>
        </w:rPr>
        <w:t xml:space="preserve">. </w:t>
      </w:r>
      <w:r w:rsidR="001A24FC" w:rsidRPr="00D23F25">
        <w:t>This is needed to avoid potential duplication of effort and situations where livestock producers potentially receive double indemnities from both programs.</w:t>
      </w:r>
      <w:r w:rsidR="00FA6C32">
        <w:t xml:space="preserve"> In this context, if Government elects to purchase purely catastrophe-level pasture </w:t>
      </w:r>
      <w:r w:rsidR="00FA6C32">
        <w:lastRenderedPageBreak/>
        <w:t xml:space="preserve">NDVI insurance cover with a payout frequency of say 1 in 15 years, one option government may wish to consider is whether to back up </w:t>
      </w:r>
      <w:r w:rsidR="00B20FEC">
        <w:t xml:space="preserve">this </w:t>
      </w:r>
      <w:r w:rsidR="00FA6C32">
        <w:t xml:space="preserve">“top layer </w:t>
      </w:r>
      <w:r w:rsidR="00B20FEC">
        <w:t xml:space="preserve">insurance </w:t>
      </w:r>
      <w:r w:rsidR="00FA6C32">
        <w:t xml:space="preserve">protection” </w:t>
      </w:r>
      <w:r w:rsidR="00B20FEC">
        <w:t xml:space="preserve">by use of </w:t>
      </w:r>
      <w:r w:rsidR="00FA6C32">
        <w:t xml:space="preserve">emergency funds for </w:t>
      </w:r>
      <w:r w:rsidR="00B20FEC">
        <w:t xml:space="preserve">the more frequent </w:t>
      </w:r>
      <w:r w:rsidR="00973335">
        <w:t xml:space="preserve">but </w:t>
      </w:r>
      <w:r w:rsidR="00B20FEC">
        <w:t>smaller payout pasture-drought events in SWBA. A two layered program which is structured in this way would reduce the problem of basis risk associated with the NDVI product.</w:t>
      </w:r>
    </w:p>
    <w:p w:rsidR="000C6233" w:rsidRPr="00D23F25" w:rsidRDefault="00E32CF4" w:rsidP="00D23F25">
      <w:pPr>
        <w:pStyle w:val="WBReport"/>
      </w:pPr>
      <w:r w:rsidRPr="00750F30">
        <w:rPr>
          <w:b/>
          <w:i/>
        </w:rPr>
        <w:t>Similarly if the Project for a Law to create a compulsory (or voluntary) agricultural insurance program for Argentina is enacted by Congress in 2012 or future it will be necessary to ensure that the proposed macro-level pasture NDVI insurance program for livestock producers in SWBA is properly coordinated with this new national program</w:t>
      </w:r>
      <w:r w:rsidR="00C70BB9" w:rsidRPr="00750F30">
        <w:rPr>
          <w:b/>
          <w:i/>
        </w:rPr>
        <w:t>.</w:t>
      </w:r>
      <w:r w:rsidRPr="00FE24C0">
        <w:rPr>
          <w:i/>
        </w:rPr>
        <w:t xml:space="preserve"> </w:t>
      </w:r>
      <w:r w:rsidR="001A24FC" w:rsidRPr="00D23F25">
        <w:t xml:space="preserve">In 2012 Congress is studying options for new legislation to introduce a national agricultural insurance program which would be designed to ensure that all crop, livestock and forestry producers acquire a minimum level of agricultural insurance protection in order to relieve pressure on the provincial and national budgets in times of severe drought losses and or losses due to other natural disasters. Currently there are </w:t>
      </w:r>
      <w:proofErr w:type="gramStart"/>
      <w:r w:rsidR="001A24FC" w:rsidRPr="00D23F25">
        <w:t>three  draft</w:t>
      </w:r>
      <w:proofErr w:type="gramEnd"/>
      <w:r w:rsidR="001A24FC" w:rsidRPr="00D23F25">
        <w:t xml:space="preserve"> laws / proposals that are being studied by Congress, one of which is obligatory, while two are voluntary schemes and which may attract some form of premium subsidies paid by government (see Chapter 1 for details). At the moment, these proposals are mainly oriented to insure crops, but in future they will be extended to include livestock producers as well. The role and positioning of the proposed government financed macro-level pasture NDVI program in SWBA must be taken into account in the planning of any national agricultural insurance law and program.</w:t>
      </w:r>
    </w:p>
    <w:p w:rsidR="00750F30" w:rsidRDefault="00750F30" w:rsidP="00750F30"/>
    <w:p w:rsidR="000C6233" w:rsidRPr="00750F30" w:rsidRDefault="00030A46" w:rsidP="00750F30">
      <w:pPr>
        <w:pStyle w:val="Subttulo"/>
      </w:pPr>
      <w:bookmarkStart w:id="44" w:name="_Toc332274329"/>
      <w:bookmarkStart w:id="45" w:name="_Toc345794280"/>
      <w:r w:rsidRPr="00750F30">
        <w:t>Operational Considerations for NDVI Insurance</w:t>
      </w:r>
      <w:bookmarkEnd w:id="44"/>
      <w:bookmarkEnd w:id="45"/>
      <w:r w:rsidRPr="00750F30">
        <w:t xml:space="preserve"> </w:t>
      </w:r>
    </w:p>
    <w:p w:rsidR="007F544F" w:rsidRPr="00B20FEC" w:rsidRDefault="000A7CB9" w:rsidP="007F544F">
      <w:pPr>
        <w:pStyle w:val="APDroughtPara"/>
        <w:numPr>
          <w:ilvl w:val="0"/>
          <w:numId w:val="0"/>
        </w:numPr>
        <w:outlineLvl w:val="9"/>
        <w:rPr>
          <w:b/>
          <w:szCs w:val="22"/>
          <w:u w:val="single"/>
        </w:rPr>
      </w:pPr>
      <w:r w:rsidRPr="000A7CB9">
        <w:rPr>
          <w:b/>
          <w:szCs w:val="22"/>
          <w:u w:val="single"/>
        </w:rPr>
        <w:t>Registration and allocation of livestock to each Cuartel (Insured Unit) to establish the Sum Insured and to effect NDVI insurance payouts</w:t>
      </w:r>
    </w:p>
    <w:p w:rsidR="000C6233" w:rsidRPr="00750F30" w:rsidRDefault="0056321F" w:rsidP="00750F30">
      <w:pPr>
        <w:pStyle w:val="WBReport"/>
      </w:pPr>
      <w:r w:rsidRPr="00750F30">
        <w:rPr>
          <w:b/>
          <w:i/>
        </w:rPr>
        <w:t xml:space="preserve">For the purposes of the NDVI </w:t>
      </w:r>
      <w:r w:rsidR="003F70A7" w:rsidRPr="00750F30">
        <w:rPr>
          <w:b/>
          <w:i/>
        </w:rPr>
        <w:t xml:space="preserve">insurance </w:t>
      </w:r>
      <w:r w:rsidR="009052F8" w:rsidRPr="00750F30">
        <w:rPr>
          <w:b/>
          <w:i/>
        </w:rPr>
        <w:t>program</w:t>
      </w:r>
      <w:r w:rsidRPr="00750F30">
        <w:rPr>
          <w:b/>
          <w:i/>
        </w:rPr>
        <w:t xml:space="preserve"> will be necessary to register all livestock cattle owners according to the location of their animals by Insured Unit</w:t>
      </w:r>
      <w:r w:rsidR="003F70A7" w:rsidRPr="00750F30">
        <w:rPr>
          <w:b/>
          <w:i/>
        </w:rPr>
        <w:t xml:space="preserve"> in SWBA</w:t>
      </w:r>
      <w:r w:rsidR="009052F8" w:rsidRPr="00D23F25">
        <w:t xml:space="preserve">. </w:t>
      </w:r>
      <w:r w:rsidR="001A24FC" w:rsidRPr="00D23F25">
        <w:t>The need to register all cattle owners according to the number of cattle they own and which are located in each Insured Unit includes: (i) it is necessary to calculate the sum insured for each herd in each Insured Unit according to the herd composition and the different sum insured values for each category of animal (cows and heifers); (ii) premium will be paid on the basis of the sum insured and the calculated premium rate that applies to each Insured Unit; and (iii) for insurance compensation payout purposes it is necessary to know exactly which livestock producers are located in each Insured Unit and their individual herd sums insured.</w:t>
      </w:r>
    </w:p>
    <w:p w:rsidR="000C6233" w:rsidRPr="00750F30" w:rsidRDefault="003F70A7" w:rsidP="00750F30">
      <w:pPr>
        <w:pStyle w:val="WBReport"/>
      </w:pPr>
      <w:r w:rsidRPr="00750F30">
        <w:rPr>
          <w:b/>
          <w:i/>
        </w:rPr>
        <w:t>Argentina is fortunate to have a very comprehensive livestock registration database system which is managed t</w:t>
      </w:r>
      <w:r w:rsidR="009052F8" w:rsidRPr="00750F30">
        <w:rPr>
          <w:b/>
          <w:i/>
        </w:rPr>
        <w:t>he National Service of Animal Health (SENASA)</w:t>
      </w:r>
      <w:r w:rsidR="001A24FC" w:rsidRPr="00750F30">
        <w:rPr>
          <w:b/>
          <w:i/>
        </w:rPr>
        <w:t>.</w:t>
      </w:r>
      <w:r w:rsidR="001A24FC" w:rsidRPr="00FE24C0">
        <w:rPr>
          <w:i/>
        </w:rPr>
        <w:t xml:space="preserve"> </w:t>
      </w:r>
      <w:r w:rsidR="001A24FC" w:rsidRPr="00D23F25">
        <w:t>SENASA is involved twice yearly in updating cattle numbers as part of its national Foo</w:t>
      </w:r>
      <w:r w:rsidR="00251C06">
        <w:t>t</w:t>
      </w:r>
      <w:r w:rsidR="001A24FC" w:rsidRPr="00D23F25">
        <w:t xml:space="preserve"> and Mouth Disease (FMD) vaccination program. For the purposes of the NDVI Study in SWBA SENASA has kindly made available its full cattle database for all departments in SWBA: this data has been provided for 2011 and to maintain confidentiality of information, the only identification provided is a unique registration code number and the latitude and longitude of the location of each livestock producer and the current numbers of cattle they each hold by category of animal. The World Bank team have used the SENASA 2011 livestock information to allocate all 764,186 cows and 294,521 heifers owned by about 8,000 cattle producers into the 117 Cuartels (Insured Units) across the 12 </w:t>
      </w:r>
      <w:r w:rsidR="00865CC5">
        <w:t>Departments</w:t>
      </w:r>
      <w:r w:rsidR="001A24FC" w:rsidRPr="00D23F25">
        <w:t xml:space="preserve"> and to estimate the total sum insured of AR$ 334.4 million.</w:t>
      </w:r>
    </w:p>
    <w:p w:rsidR="000C6233" w:rsidRPr="00750F30" w:rsidRDefault="00267008" w:rsidP="00750F30">
      <w:pPr>
        <w:pStyle w:val="WBReport"/>
      </w:pPr>
      <w:r w:rsidRPr="00750F30">
        <w:rPr>
          <w:b/>
          <w:i/>
        </w:rPr>
        <w:lastRenderedPageBreak/>
        <w:t xml:space="preserve">The SENASA Database of livestock producers </w:t>
      </w:r>
      <w:r w:rsidR="0053309A">
        <w:rPr>
          <w:b/>
          <w:i/>
        </w:rPr>
        <w:t>and their current livestock holdings</w:t>
      </w:r>
      <w:r w:rsidR="00950AEB">
        <w:rPr>
          <w:b/>
          <w:i/>
        </w:rPr>
        <w:t xml:space="preserve"> by class of insured an</w:t>
      </w:r>
      <w:r w:rsidR="00251C06">
        <w:rPr>
          <w:b/>
          <w:i/>
        </w:rPr>
        <w:t>imal</w:t>
      </w:r>
      <w:r w:rsidR="0053309A">
        <w:rPr>
          <w:b/>
          <w:i/>
        </w:rPr>
        <w:t xml:space="preserve"> </w:t>
      </w:r>
      <w:r w:rsidRPr="00750F30">
        <w:rPr>
          <w:b/>
          <w:i/>
        </w:rPr>
        <w:t xml:space="preserve">will be </w:t>
      </w:r>
      <w:r w:rsidR="0053309A">
        <w:rPr>
          <w:b/>
          <w:i/>
        </w:rPr>
        <w:t xml:space="preserve">used to establish the sums </w:t>
      </w:r>
      <w:r w:rsidR="00950AEB">
        <w:rPr>
          <w:b/>
          <w:i/>
        </w:rPr>
        <w:t>insured per cuartel and the total sum insured for the macro-level NDVI policy and in the event of losses being triggered to make payouts</w:t>
      </w:r>
      <w:r w:rsidR="000A7CB9" w:rsidRPr="000A7CB9">
        <w:rPr>
          <w:i/>
        </w:rPr>
        <w:t xml:space="preserve">.  </w:t>
      </w:r>
      <w:r w:rsidR="000A7CB9" w:rsidRPr="000A7CB9">
        <w:t xml:space="preserve">At the start of each insurance campaign, the Insurance Companies will need access </w:t>
      </w:r>
      <w:r w:rsidR="00950AEB">
        <w:t xml:space="preserve">to SENASA’s livestock data </w:t>
      </w:r>
      <w:r w:rsidR="001A24FC" w:rsidRPr="00950AEB">
        <w:t>to</w:t>
      </w:r>
      <w:r w:rsidR="001A24FC" w:rsidRPr="00D23F25">
        <w:t xml:space="preserve"> verify the numbers of livestock held by and the sum insured attaching to each livestock producer (beneficiary) and their location by Insured Unit (Cuartel). In the event of a payout being triggered in any Insured Unit the payouts will be estimated for each and every beneficiary within the affected Cuartel.</w:t>
      </w:r>
    </w:p>
    <w:p w:rsidR="00F22E00" w:rsidRPr="00750F30" w:rsidRDefault="00267008" w:rsidP="00750F30">
      <w:pPr>
        <w:pStyle w:val="WBReport"/>
      </w:pPr>
      <w:r w:rsidRPr="00750F30">
        <w:rPr>
          <w:b/>
          <w:i/>
        </w:rPr>
        <w:t xml:space="preserve">It is anticipated that the Insurance Companies will </w:t>
      </w:r>
      <w:r w:rsidR="00937F0B" w:rsidRPr="00750F30">
        <w:rPr>
          <w:b/>
          <w:i/>
        </w:rPr>
        <w:t>enter</w:t>
      </w:r>
      <w:r w:rsidRPr="00750F30">
        <w:rPr>
          <w:b/>
          <w:i/>
        </w:rPr>
        <w:t xml:space="preserve"> into an agreement with SENASA to provide updated livestock (cattle) holding data each year</w:t>
      </w:r>
      <w:r w:rsidR="001A24FC" w:rsidRPr="00FE24C0">
        <w:rPr>
          <w:i/>
        </w:rPr>
        <w:t>.</w:t>
      </w:r>
      <w:r w:rsidR="001A24FC" w:rsidRPr="00FE24C0">
        <w:rPr>
          <w:b/>
        </w:rPr>
        <w:t xml:space="preserve"> </w:t>
      </w:r>
      <w:r w:rsidR="001A24FC" w:rsidRPr="00D23F25">
        <w:t>This will permit the Insurers to update the total sum insured on an annual basis.</w:t>
      </w:r>
    </w:p>
    <w:p w:rsidR="00D76229" w:rsidRPr="00B20FEC" w:rsidRDefault="000A7CB9" w:rsidP="00D76229">
      <w:pPr>
        <w:pStyle w:val="APDroughtPara"/>
        <w:numPr>
          <w:ilvl w:val="0"/>
          <w:numId w:val="0"/>
        </w:numPr>
        <w:outlineLvl w:val="9"/>
        <w:rPr>
          <w:szCs w:val="22"/>
          <w:u w:val="single"/>
        </w:rPr>
      </w:pPr>
      <w:r w:rsidRPr="000A7CB9">
        <w:rPr>
          <w:b/>
          <w:szCs w:val="22"/>
          <w:u w:val="single"/>
        </w:rPr>
        <w:t>Third Party NDVI Operator</w:t>
      </w:r>
    </w:p>
    <w:p w:rsidR="000C6233" w:rsidRPr="00750F30" w:rsidRDefault="00E07093" w:rsidP="00750F30">
      <w:pPr>
        <w:pStyle w:val="WBReport"/>
        <w:rPr>
          <w:i/>
        </w:rPr>
      </w:pPr>
      <w:r w:rsidRPr="00750F30">
        <w:rPr>
          <w:b/>
          <w:i/>
        </w:rPr>
        <w:t xml:space="preserve">For the operation of this </w:t>
      </w:r>
      <w:r w:rsidR="001D35E7" w:rsidRPr="00750F30">
        <w:rPr>
          <w:b/>
          <w:i/>
        </w:rPr>
        <w:t>NDVI policy</w:t>
      </w:r>
      <w:r w:rsidRPr="00750F30">
        <w:rPr>
          <w:b/>
          <w:i/>
        </w:rPr>
        <w:t xml:space="preserve"> and to ensure timely payouts</w:t>
      </w:r>
      <w:r w:rsidR="001D35E7" w:rsidRPr="00750F30">
        <w:rPr>
          <w:b/>
          <w:i/>
        </w:rPr>
        <w:t xml:space="preserve"> in the event the NDVI policy is triggered in any Insured Unit(s)</w:t>
      </w:r>
      <w:r w:rsidRPr="00750F30">
        <w:rPr>
          <w:b/>
          <w:i/>
        </w:rPr>
        <w:t>, the Insuran</w:t>
      </w:r>
      <w:r w:rsidR="001D35E7" w:rsidRPr="00750F30">
        <w:rPr>
          <w:b/>
          <w:i/>
        </w:rPr>
        <w:t>c</w:t>
      </w:r>
      <w:r w:rsidRPr="00750F30">
        <w:rPr>
          <w:b/>
          <w:i/>
        </w:rPr>
        <w:t xml:space="preserve">e Companies will need to appoint a third party operator who will be responsible for downloading and processing MODIS imagery on a </w:t>
      </w:r>
      <w:r w:rsidR="002258F5" w:rsidRPr="00750F30">
        <w:rPr>
          <w:b/>
          <w:i/>
        </w:rPr>
        <w:t>16-day</w:t>
      </w:r>
      <w:r w:rsidRPr="00750F30">
        <w:rPr>
          <w:b/>
          <w:i/>
        </w:rPr>
        <w:t xml:space="preserve"> basis for the SWBA command area and in </w:t>
      </w:r>
      <w:r w:rsidR="002258F5" w:rsidRPr="00750F30">
        <w:rPr>
          <w:b/>
          <w:i/>
        </w:rPr>
        <w:t xml:space="preserve">providing the </w:t>
      </w:r>
      <w:r w:rsidR="000D0B87">
        <w:rPr>
          <w:b/>
          <w:i/>
        </w:rPr>
        <w:t xml:space="preserve">processed monthly </w:t>
      </w:r>
      <w:r w:rsidR="002258F5" w:rsidRPr="00750F30">
        <w:rPr>
          <w:b/>
          <w:i/>
        </w:rPr>
        <w:t xml:space="preserve">NDVI data for each 2,500 </w:t>
      </w:r>
      <w:r w:rsidR="001339EA" w:rsidRPr="00750F30">
        <w:rPr>
          <w:b/>
          <w:i/>
        </w:rPr>
        <w:t xml:space="preserve">Ha </w:t>
      </w:r>
      <w:r w:rsidR="002258F5" w:rsidRPr="00750F30">
        <w:rPr>
          <w:b/>
          <w:i/>
        </w:rPr>
        <w:t>pixel to the Insurers</w:t>
      </w:r>
      <w:r w:rsidR="001D35E7" w:rsidRPr="00750F30">
        <w:rPr>
          <w:b/>
          <w:i/>
        </w:rPr>
        <w:t>.</w:t>
      </w:r>
      <w:r w:rsidR="001D35E7" w:rsidRPr="00FE24C0">
        <w:rPr>
          <w:i/>
        </w:rPr>
        <w:t xml:space="preserve"> </w:t>
      </w:r>
      <w:r w:rsidR="001A24FC" w:rsidRPr="00D23F25">
        <w:t xml:space="preserve">The third party operator will be responsible for providing the Pool insurers with the </w:t>
      </w:r>
      <w:r w:rsidR="00251C06">
        <w:t xml:space="preserve">calculated monthly average </w:t>
      </w:r>
      <w:r w:rsidR="001A24FC" w:rsidRPr="00D23F25">
        <w:t>MODIS NDVI values in each forage pixel during the cover period. It is extremely important that the processing of the NDVI results is conducted by the Pool underwriters within the shortest possible period, especially if claims payments have been triggered in the current month. The Pool insurers and their reinsurers will be ultimately responsible for checking the index payouts and in settling claims to the Insured.</w:t>
      </w:r>
    </w:p>
    <w:p w:rsidR="000C6233" w:rsidRPr="00750F30" w:rsidRDefault="00EA5BFC" w:rsidP="00750F30">
      <w:pPr>
        <w:pStyle w:val="WBReport"/>
      </w:pPr>
      <w:r w:rsidRPr="00750F30">
        <w:rPr>
          <w:b/>
          <w:i/>
        </w:rPr>
        <w:t>In due course it will be necessary for the Pool insurers to appoint a remote sensing specialist to provide NDVI monitoring, interpretation and reporting for the SWBA pasture-livestock insurance program</w:t>
      </w:r>
      <w:r w:rsidR="001A24FC" w:rsidRPr="00750F30">
        <w:rPr>
          <w:b/>
          <w:i/>
        </w:rPr>
        <w:t>:</w:t>
      </w:r>
      <w:r w:rsidR="001A24FC" w:rsidRPr="00FE24C0">
        <w:rPr>
          <w:i/>
        </w:rPr>
        <w:t xml:space="preserve"> </w:t>
      </w:r>
      <w:r w:rsidR="001A24FC" w:rsidRPr="00D23F25">
        <w:t>Argentina is fortunate to have a number of highly specialist and professional public and private organizations which would be capable of providing these services to underwriters. The costs of this Remote Sensing / NDVI service will have to be included in the final commercial premium rates that are charged on the scheme. In order to estimate the human resource and computer systems and data processing requirements of such a system, the World Bank has requested LART-FAUBA to provide indicative costings which will be made available to the Insurance Companies in due course.</w:t>
      </w:r>
    </w:p>
    <w:p w:rsidR="005435CF" w:rsidRPr="00750F30" w:rsidRDefault="004D6340" w:rsidP="00750F30">
      <w:pPr>
        <w:pStyle w:val="WBReport"/>
      </w:pPr>
      <w:r w:rsidRPr="00750F30">
        <w:rPr>
          <w:b/>
          <w:i/>
        </w:rPr>
        <w:t>The operation of the NDVI pasture index insurance program is totally dependent on the effective functioning of the MODIS satellite throughout the coverage period</w:t>
      </w:r>
      <w:r w:rsidR="005810BF" w:rsidRPr="00750F30">
        <w:rPr>
          <w:b/>
          <w:i/>
        </w:rPr>
        <w:t>,</w:t>
      </w:r>
      <w:r w:rsidRPr="00750F30">
        <w:rPr>
          <w:b/>
          <w:i/>
        </w:rPr>
        <w:t xml:space="preserve"> and back-up systems in the case MODIS is not functioning at any stage need to be carefully considered</w:t>
      </w:r>
      <w:r w:rsidR="001A24FC" w:rsidRPr="00750F30">
        <w:rPr>
          <w:b/>
          <w:i/>
        </w:rPr>
        <w:t>.</w:t>
      </w:r>
      <w:r w:rsidR="001A24FC" w:rsidRPr="00FE24C0">
        <w:rPr>
          <w:i/>
        </w:rPr>
        <w:t xml:space="preserve">   </w:t>
      </w:r>
      <w:r w:rsidR="001A24FC" w:rsidRPr="00D23F25">
        <w:t xml:space="preserve">These back-up procedures need to be specified in the Policy Wording which is provided to the Insured. In the wider context, it should be recognized that MODIS has now been operating considerably longer than originally planned and when in due course it is shut-down it will then be necessary to re-estimate the NDVI database for SWBA using a new and more up to date and higher resolution NDVI remote sensor (i.e. SPOT 4, SPOT 5 or AVHRR).  </w:t>
      </w:r>
    </w:p>
    <w:p w:rsidR="00D76229" w:rsidRPr="00B20FEC" w:rsidRDefault="000A7CB9" w:rsidP="00D76229">
      <w:pPr>
        <w:pStyle w:val="APDroughtPara"/>
        <w:numPr>
          <w:ilvl w:val="0"/>
          <w:numId w:val="0"/>
        </w:numPr>
        <w:outlineLvl w:val="9"/>
        <w:rPr>
          <w:b/>
          <w:szCs w:val="22"/>
          <w:u w:val="single"/>
        </w:rPr>
      </w:pPr>
      <w:r w:rsidRPr="000A7CB9">
        <w:rPr>
          <w:b/>
          <w:szCs w:val="22"/>
          <w:u w:val="single"/>
        </w:rPr>
        <w:t>Payout Mechanism to Individual Beneficiaries (Cattle producers)</w:t>
      </w:r>
    </w:p>
    <w:p w:rsidR="000C6233" w:rsidRPr="00750F30" w:rsidRDefault="00E07093" w:rsidP="00750F30">
      <w:pPr>
        <w:pStyle w:val="WBReport"/>
      </w:pPr>
      <w:r w:rsidRPr="00750F30">
        <w:rPr>
          <w:b/>
          <w:i/>
        </w:rPr>
        <w:t xml:space="preserve">The third major operating requirement is to design a system of ensuring in times of drought </w:t>
      </w:r>
      <w:r w:rsidR="0041297C" w:rsidRPr="00750F30">
        <w:rPr>
          <w:b/>
          <w:i/>
        </w:rPr>
        <w:t>in pasture</w:t>
      </w:r>
      <w:r w:rsidRPr="00750F30">
        <w:rPr>
          <w:b/>
          <w:i/>
        </w:rPr>
        <w:t xml:space="preserve"> when the NDVI policy is triggered that livestock owners in each affected Insured Unit receive timely insurance payouts.</w:t>
      </w:r>
      <w:r w:rsidRPr="00FE24C0">
        <w:rPr>
          <w:i/>
        </w:rPr>
        <w:t xml:space="preserve"> </w:t>
      </w:r>
      <w:r w:rsidR="001A24FC" w:rsidRPr="00D23F25">
        <w:t xml:space="preserve">In early discussions on this NDVI program it </w:t>
      </w:r>
      <w:r w:rsidR="001A24FC" w:rsidRPr="00D23F25">
        <w:lastRenderedPageBreak/>
        <w:t>was indicated that payments could be made to cattle producers either in the form of a cash amount, or the equivalent in livestock feed. The livestock sector, however, indicated its strong preference for farmers to receive monetary payouts to enable them to choose which types of supplementary livestock feeds to purchase.</w:t>
      </w:r>
    </w:p>
    <w:p w:rsidR="000C6233" w:rsidRPr="00750F30" w:rsidRDefault="00E07093" w:rsidP="00750F30">
      <w:pPr>
        <w:pStyle w:val="WBReport"/>
        <w:spacing w:after="60"/>
        <w:rPr>
          <w:i/>
        </w:rPr>
      </w:pPr>
      <w:r w:rsidRPr="00750F30">
        <w:rPr>
          <w:b/>
          <w:i/>
        </w:rPr>
        <w:t xml:space="preserve">Under the proposed Macro-level cover, </w:t>
      </w:r>
      <w:r w:rsidR="00D76229" w:rsidRPr="00750F30">
        <w:rPr>
          <w:b/>
          <w:i/>
        </w:rPr>
        <w:t xml:space="preserve">where </w:t>
      </w:r>
      <w:r w:rsidRPr="00750F30">
        <w:rPr>
          <w:b/>
          <w:i/>
        </w:rPr>
        <w:t xml:space="preserve">the </w:t>
      </w:r>
      <w:r w:rsidR="0041364C" w:rsidRPr="00750F30">
        <w:rPr>
          <w:b/>
          <w:i/>
        </w:rPr>
        <w:t xml:space="preserve">Federal and /or </w:t>
      </w:r>
      <w:r w:rsidRPr="00750F30">
        <w:rPr>
          <w:b/>
          <w:i/>
        </w:rPr>
        <w:t>Provincial Government</w:t>
      </w:r>
      <w:r w:rsidR="00D76229" w:rsidRPr="00750F30">
        <w:rPr>
          <w:b/>
          <w:i/>
        </w:rPr>
        <w:t xml:space="preserve"> is the Insured</w:t>
      </w:r>
      <w:r w:rsidR="009B3C4C" w:rsidRPr="00750F30">
        <w:rPr>
          <w:b/>
          <w:i/>
        </w:rPr>
        <w:t>,</w:t>
      </w:r>
      <w:r w:rsidR="00D76229" w:rsidRPr="00750F30">
        <w:rPr>
          <w:b/>
          <w:i/>
        </w:rPr>
        <w:t xml:space="preserve"> there are potentially </w:t>
      </w:r>
      <w:r w:rsidR="005279A9" w:rsidRPr="00750F30">
        <w:rPr>
          <w:b/>
          <w:i/>
        </w:rPr>
        <w:t>two</w:t>
      </w:r>
      <w:r w:rsidR="00D76229" w:rsidRPr="00750F30">
        <w:rPr>
          <w:b/>
          <w:i/>
        </w:rPr>
        <w:t xml:space="preserve"> ways that the NDVI </w:t>
      </w:r>
      <w:r w:rsidR="001E1448">
        <w:rPr>
          <w:b/>
          <w:i/>
        </w:rPr>
        <w:t>compensation</w:t>
      </w:r>
      <w:r w:rsidR="001E1448" w:rsidRPr="00750F30">
        <w:rPr>
          <w:b/>
          <w:i/>
        </w:rPr>
        <w:t xml:space="preserve"> </w:t>
      </w:r>
      <w:r w:rsidR="00D76229" w:rsidRPr="00750F30">
        <w:rPr>
          <w:b/>
          <w:i/>
        </w:rPr>
        <w:t>payouts could be made</w:t>
      </w:r>
      <w:r w:rsidR="001A24FC" w:rsidRPr="00FE24C0">
        <w:rPr>
          <w:i/>
        </w:rPr>
        <w:t>, namely:</w:t>
      </w:r>
    </w:p>
    <w:p w:rsidR="000C6233" w:rsidRPr="00FE24C0" w:rsidRDefault="002258F5" w:rsidP="00750F30">
      <w:pPr>
        <w:pStyle w:val="WB"/>
        <w:numPr>
          <w:ilvl w:val="0"/>
          <w:numId w:val="0"/>
        </w:numPr>
        <w:spacing w:after="120"/>
        <w:ind w:left="426"/>
      </w:pPr>
      <w:r w:rsidRPr="00FE24C0">
        <w:rPr>
          <w:b/>
        </w:rPr>
        <w:t>(1)</w:t>
      </w:r>
      <w:r w:rsidR="001A24FC" w:rsidRPr="00FE24C0">
        <w:rPr>
          <w:b/>
        </w:rPr>
        <w:t xml:space="preserve">The first </w:t>
      </w:r>
      <w:r w:rsidR="001E1448">
        <w:rPr>
          <w:b/>
        </w:rPr>
        <w:t xml:space="preserve">compensation </w:t>
      </w:r>
      <w:r w:rsidR="001A24FC" w:rsidRPr="00FE24C0">
        <w:rPr>
          <w:b/>
        </w:rPr>
        <w:t>method</w:t>
      </w:r>
      <w:r w:rsidR="00D76229" w:rsidRPr="00FE24C0">
        <w:t xml:space="preserve"> would involve the Insurers paying a lump sum amount to the Insured </w:t>
      </w:r>
      <w:r w:rsidR="00C07495" w:rsidRPr="00FE24C0">
        <w:t>(Government) wh</w:t>
      </w:r>
      <w:r w:rsidR="0041297C" w:rsidRPr="00FE24C0">
        <w:t>ich</w:t>
      </w:r>
      <w:r w:rsidR="00C07495" w:rsidRPr="00FE24C0">
        <w:t xml:space="preserve"> would then be responsible for distributing the payouts to the affected cattle producers (beneficiaries). This would require that Government is provided </w:t>
      </w:r>
      <w:r w:rsidR="00D76229" w:rsidRPr="00FE24C0">
        <w:t xml:space="preserve">with a </w:t>
      </w:r>
      <w:r w:rsidR="0041364C" w:rsidRPr="00FE24C0">
        <w:t>schedule of the affected D</w:t>
      </w:r>
      <w:r w:rsidR="00D76229" w:rsidRPr="00FE24C0">
        <w:t>epartments</w:t>
      </w:r>
      <w:r w:rsidR="00E04F1D" w:rsidRPr="00FE24C0">
        <w:t xml:space="preserve"> and</w:t>
      </w:r>
      <w:r w:rsidR="00D76229" w:rsidRPr="00FE24C0">
        <w:t xml:space="preserve"> Cuartels</w:t>
      </w:r>
      <w:r w:rsidR="00E04F1D" w:rsidRPr="00FE24C0">
        <w:t>,</w:t>
      </w:r>
      <w:r w:rsidR="00E07093" w:rsidRPr="00FE24C0">
        <w:t xml:space="preserve"> </w:t>
      </w:r>
      <w:r w:rsidR="0041297C" w:rsidRPr="00FE24C0">
        <w:t xml:space="preserve">and a </w:t>
      </w:r>
      <w:r w:rsidR="00E04F1D" w:rsidRPr="00FE24C0">
        <w:t>s</w:t>
      </w:r>
      <w:r w:rsidR="0041297C" w:rsidRPr="00FE24C0">
        <w:t xml:space="preserve">chedule </w:t>
      </w:r>
      <w:r w:rsidR="00D76229" w:rsidRPr="00FE24C0">
        <w:t xml:space="preserve">of each cattle owner (beneficiary) along with his/her individual sum insured and amount of payment due to each beneficiary. Government would then be responsible for making individual payments to each beneficiary </w:t>
      </w:r>
      <w:r w:rsidR="0041364C" w:rsidRPr="00FE24C0">
        <w:t>by the m</w:t>
      </w:r>
      <w:r w:rsidR="00C07495" w:rsidRPr="00FE24C0">
        <w:t>ost cost-effective method which may be by cheque or by electronic transfer to each cattle owner’s bank account. Since payouts are likely in some Insured Units every month over the 6 month cover period this will potentially add major costs for Government and result in delays in the payments being received by the intended beneficiaries.</w:t>
      </w:r>
      <w:r w:rsidR="00D76229" w:rsidRPr="00FE24C0">
        <w:t xml:space="preserve"> </w:t>
      </w:r>
    </w:p>
    <w:p w:rsidR="000C6233" w:rsidRDefault="002258F5" w:rsidP="00750F30">
      <w:pPr>
        <w:pStyle w:val="WB"/>
        <w:numPr>
          <w:ilvl w:val="0"/>
          <w:numId w:val="0"/>
        </w:numPr>
        <w:spacing w:after="120"/>
        <w:ind w:left="426"/>
      </w:pPr>
      <w:r w:rsidRPr="00FE24C0">
        <w:rPr>
          <w:b/>
        </w:rPr>
        <w:t xml:space="preserve">(2) </w:t>
      </w:r>
      <w:r w:rsidR="001A24FC" w:rsidRPr="00FE24C0">
        <w:rPr>
          <w:b/>
          <w:bCs w:val="0"/>
        </w:rPr>
        <w:t>The second procedure</w:t>
      </w:r>
      <w:r w:rsidR="001A24FC" w:rsidRPr="00FE24C0">
        <w:rPr>
          <w:bCs w:val="0"/>
        </w:rPr>
        <w:t xml:space="preserve"> would be for the Insured (Government) to agree for the Insurers to effect automatic direct payments to each and every Insured beneficiary</w:t>
      </w:r>
      <w:r w:rsidR="00C07495" w:rsidRPr="00FE24C0">
        <w:t xml:space="preserve">. </w:t>
      </w:r>
      <w:r w:rsidR="003D5449" w:rsidRPr="00FE24C0">
        <w:t>I</w:t>
      </w:r>
      <w:r w:rsidR="00C07495" w:rsidRPr="00FE24C0">
        <w:t>f Government agrees with this alternative approach, i</w:t>
      </w:r>
      <w:r w:rsidR="003D5449" w:rsidRPr="00FE24C0">
        <w:t xml:space="preserve">t will then be very important to ensure that a mechanism is put in place to </w:t>
      </w:r>
      <w:r w:rsidR="00C07495" w:rsidRPr="00FE24C0">
        <w:t xml:space="preserve">enable the Pool Insurance Companies to </w:t>
      </w:r>
      <w:r w:rsidR="00C97BD5" w:rsidRPr="00FE24C0">
        <w:t xml:space="preserve">make automatic payments to the accounts of each insured </w:t>
      </w:r>
      <w:r w:rsidR="00C07495" w:rsidRPr="00FE24C0">
        <w:t>cattle owner (beneficiar</w:t>
      </w:r>
      <w:r w:rsidR="0041364C" w:rsidRPr="00FE24C0">
        <w:t>y</w:t>
      </w:r>
      <w:r w:rsidR="00C07495" w:rsidRPr="00FE24C0">
        <w:t xml:space="preserve">) </w:t>
      </w:r>
      <w:r w:rsidR="00C97BD5" w:rsidRPr="00FE24C0">
        <w:t xml:space="preserve">in the Insured Units where a payout has been triggered according to their individual livestock holdings and sums insured </w:t>
      </w:r>
      <w:r w:rsidR="000E35EC" w:rsidRPr="00FE24C0">
        <w:t>in each triggered Insured Unit.</w:t>
      </w:r>
      <w:bookmarkStart w:id="46" w:name="_Toc332274330"/>
      <w:r w:rsidR="00950AEB">
        <w:t xml:space="preserve">  Under this second option, it will be very important for the Insurers in conjunction with SNN to examine the legal position of the Insurers making direct payments to the beneficiaries and specifically to confirm whether this would be deemed to amount to an insurance obligation between the Insurance Companies and the Beneficiaries. </w:t>
      </w:r>
    </w:p>
    <w:p w:rsidR="000C6233" w:rsidRPr="00FE24C0" w:rsidRDefault="001A24FC" w:rsidP="00750F30">
      <w:pPr>
        <w:pStyle w:val="Subttulo"/>
      </w:pPr>
      <w:bookmarkStart w:id="47" w:name="_Toc345794281"/>
      <w:r w:rsidRPr="00FE24C0">
        <w:t>Financial and Reinsurance Considerations for NDVI Insurance</w:t>
      </w:r>
      <w:bookmarkEnd w:id="46"/>
      <w:bookmarkEnd w:id="47"/>
      <w:r w:rsidRPr="00FE24C0">
        <w:t xml:space="preserve"> </w:t>
      </w:r>
    </w:p>
    <w:p w:rsidR="005F2F52" w:rsidRPr="00B20FEC" w:rsidRDefault="00BE358C" w:rsidP="005F2F52">
      <w:pPr>
        <w:pStyle w:val="APDroughtPara"/>
        <w:numPr>
          <w:ilvl w:val="0"/>
          <w:numId w:val="0"/>
        </w:numPr>
        <w:outlineLvl w:val="9"/>
        <w:rPr>
          <w:b/>
          <w:szCs w:val="22"/>
          <w:u w:val="single"/>
        </w:rPr>
      </w:pPr>
      <w:r w:rsidRPr="00BE358C">
        <w:rPr>
          <w:b/>
          <w:szCs w:val="22"/>
          <w:u w:val="single"/>
        </w:rPr>
        <w:t>Premium financing</w:t>
      </w:r>
    </w:p>
    <w:p w:rsidR="000C6233" w:rsidRPr="00FE24C0" w:rsidRDefault="00560B3C" w:rsidP="00750F30">
      <w:pPr>
        <w:pStyle w:val="WBReport"/>
        <w:spacing w:after="120"/>
        <w:rPr>
          <w:i/>
        </w:rPr>
      </w:pPr>
      <w:r w:rsidRPr="00750F30">
        <w:rPr>
          <w:b/>
          <w:i/>
        </w:rPr>
        <w:t xml:space="preserve">Chapter 5 presented full </w:t>
      </w:r>
      <w:r w:rsidRPr="00750F30">
        <w:rPr>
          <w:b/>
          <w:bCs/>
          <w:i/>
        </w:rPr>
        <w:t>details</w:t>
      </w:r>
      <w:r w:rsidRPr="00750F30">
        <w:rPr>
          <w:b/>
          <w:i/>
        </w:rPr>
        <w:t xml:space="preserve"> of the rating methodology and the calculated technical rates and indicative commercial premium </w:t>
      </w:r>
      <w:r w:rsidR="005F2F52" w:rsidRPr="00750F30">
        <w:rPr>
          <w:b/>
          <w:i/>
        </w:rPr>
        <w:t xml:space="preserve">for an automatic insurance </w:t>
      </w:r>
      <w:r w:rsidR="00AF23FA" w:rsidRPr="00750F30">
        <w:rPr>
          <w:b/>
          <w:i/>
        </w:rPr>
        <w:t>program</w:t>
      </w:r>
      <w:r w:rsidR="005F2F52" w:rsidRPr="00750F30">
        <w:rPr>
          <w:b/>
          <w:i/>
        </w:rPr>
        <w:t xml:space="preserve"> covering all eligible cattle producers and their </w:t>
      </w:r>
      <w:r w:rsidRPr="00750F30">
        <w:rPr>
          <w:b/>
          <w:i/>
        </w:rPr>
        <w:t>insurable cattle (</w:t>
      </w:r>
      <w:r w:rsidR="005F2F52" w:rsidRPr="00750F30">
        <w:rPr>
          <w:b/>
          <w:i/>
        </w:rPr>
        <w:t>cows and heifers</w:t>
      </w:r>
      <w:r w:rsidRPr="00750F30">
        <w:rPr>
          <w:b/>
          <w:i/>
        </w:rPr>
        <w:t>)</w:t>
      </w:r>
      <w:r w:rsidR="00C96BC6" w:rsidRPr="00750F30">
        <w:rPr>
          <w:b/>
          <w:i/>
        </w:rPr>
        <w:t xml:space="preserve"> </w:t>
      </w:r>
      <w:r w:rsidR="0041297C" w:rsidRPr="00750F30">
        <w:rPr>
          <w:b/>
          <w:i/>
        </w:rPr>
        <w:t>in SWBA</w:t>
      </w:r>
      <w:r w:rsidR="001A24FC" w:rsidRPr="00FE24C0">
        <w:rPr>
          <w:i/>
        </w:rPr>
        <w:t xml:space="preserve"> </w:t>
      </w:r>
      <w:r w:rsidR="001A24FC" w:rsidRPr="00750F30">
        <w:t xml:space="preserve">under a series of assumptions including the sums insured which were set at 50% of the feed requirements of the cattle over the 6 month cover period and under a series of assumed payout return periods varying from 1 in 7 years to 1 in 15 years. The summary premiums are reproduced in Table 6.1 and vary from a low of about AR$ </w:t>
      </w:r>
      <w:r w:rsidR="00956C55">
        <w:t>20.4</w:t>
      </w:r>
      <w:r w:rsidR="001A24FC" w:rsidRPr="00750F30">
        <w:t xml:space="preserve"> million for a 1 in 15 year payout option to a high of AR$ </w:t>
      </w:r>
      <w:r w:rsidR="00956C55">
        <w:t xml:space="preserve">46.3 </w:t>
      </w:r>
      <w:r w:rsidR="001A24FC" w:rsidRPr="00750F30">
        <w:t xml:space="preserve">million for the 1 in 7 year payout option.  </w:t>
      </w:r>
    </w:p>
    <w:p w:rsidR="00536C63" w:rsidRPr="00F61B71" w:rsidRDefault="00536C63" w:rsidP="00536C63">
      <w:pPr>
        <w:pStyle w:val="WBReport"/>
      </w:pPr>
      <w:r w:rsidRPr="00F61B71">
        <w:rPr>
          <w:b/>
          <w:i/>
        </w:rPr>
        <w:t>Under the proposed macro-level policy, the Federal and /or Provincial government of Buenos Aires would be responsible for settling the due premium to the Pool Insurers.</w:t>
      </w:r>
      <w:r w:rsidRPr="00FE24C0">
        <w:rPr>
          <w:i/>
        </w:rPr>
        <w:t xml:space="preserve"> </w:t>
      </w:r>
      <w:r w:rsidRPr="00F61B71">
        <w:t>As part of this feasibility study it had been intended to conduct a comparative cost-benefit analysis for Government of the costs of NDVI Insurance premiums and the financial payouts that would have resulted over the past 10 years with the costs of compensation payments made by the federal and provincial governments’ natural emergency disaster relief (</w:t>
      </w:r>
      <w:r w:rsidRPr="0000346B">
        <w:t>Emergencia</w:t>
      </w:r>
      <w:r w:rsidRPr="00F61B71">
        <w:t xml:space="preserve"> Agropecuaria) </w:t>
      </w:r>
      <w:r>
        <w:t>system</w:t>
      </w:r>
      <w:r w:rsidRPr="00F61B71">
        <w:t xml:space="preserve"> for livestock producers in SWBA for the same years. Unfortunately, it has not been possible to make </w:t>
      </w:r>
      <w:r w:rsidRPr="00F61B71">
        <w:lastRenderedPageBreak/>
        <w:t>this comparative analysis. However, some analyses are set out below.</w:t>
      </w:r>
    </w:p>
    <w:p w:rsidR="00560B3C" w:rsidRPr="00FE24C0" w:rsidRDefault="00560B3C" w:rsidP="00750F30">
      <w:pPr>
        <w:pStyle w:val="HeadFiguresTablesBoxes"/>
        <w:spacing w:before="120" w:after="0"/>
      </w:pPr>
      <w:proofErr w:type="gramStart"/>
      <w:r w:rsidRPr="00FE24C0">
        <w:t>Table 6.</w:t>
      </w:r>
      <w:r w:rsidR="0041297C" w:rsidRPr="00FE24C0">
        <w:t>1</w:t>
      </w:r>
      <w:r w:rsidRPr="00FE24C0">
        <w:t>.</w:t>
      </w:r>
      <w:proofErr w:type="gramEnd"/>
      <w:r w:rsidRPr="00FE24C0">
        <w:t xml:space="preserve"> Indicative Commercial Premium Rates (Calculated Technical Rate Plus loading 25% to derive Commercial Rate)</w:t>
      </w:r>
    </w:p>
    <w:tbl>
      <w:tblPr>
        <w:tblW w:w="8227" w:type="dxa"/>
        <w:tblInd w:w="103" w:type="dxa"/>
        <w:tblLook w:val="04A0"/>
      </w:tblPr>
      <w:tblGrid>
        <w:gridCol w:w="1281"/>
        <w:gridCol w:w="959"/>
        <w:gridCol w:w="1300"/>
        <w:gridCol w:w="926"/>
        <w:gridCol w:w="1280"/>
        <w:gridCol w:w="1106"/>
        <w:gridCol w:w="1375"/>
      </w:tblGrid>
      <w:tr w:rsidR="002B64AE" w:rsidRPr="00750F30" w:rsidTr="0052646B">
        <w:trPr>
          <w:trHeight w:val="720"/>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Payout Frequency (Years)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Pure Risk Rate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Pure Risk Premium (AR$)</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Technical Rate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Technical Premium (AR$)</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Indic. Commercial Rate (%)</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Indic. Commercial Premium (AR$)</w:t>
            </w:r>
          </w:p>
        </w:tc>
      </w:tr>
      <w:tr w:rsidR="002B64AE" w:rsidRPr="00750F30"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1 in 7</w:t>
            </w:r>
          </w:p>
        </w:tc>
        <w:tc>
          <w:tcPr>
            <w:tcW w:w="959"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7.42%</w:t>
            </w:r>
          </w:p>
        </w:tc>
        <w:tc>
          <w:tcPr>
            <w:tcW w:w="130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24,815,335</w:t>
            </w:r>
          </w:p>
        </w:tc>
        <w:tc>
          <w:tcPr>
            <w:tcW w:w="92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11.08%</w:t>
            </w:r>
          </w:p>
        </w:tc>
        <w:tc>
          <w:tcPr>
            <w:tcW w:w="128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 xml:space="preserve"> 37,055,461</w:t>
            </w:r>
          </w:p>
        </w:tc>
        <w:tc>
          <w:tcPr>
            <w:tcW w:w="110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13.85%</w:t>
            </w:r>
          </w:p>
        </w:tc>
        <w:tc>
          <w:tcPr>
            <w:tcW w:w="1375"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 xml:space="preserve"> 46,319,326</w:t>
            </w:r>
          </w:p>
        </w:tc>
      </w:tr>
      <w:tr w:rsidR="002B64AE" w:rsidRPr="00750F30"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1 in 10</w:t>
            </w:r>
          </w:p>
        </w:tc>
        <w:tc>
          <w:tcPr>
            <w:tcW w:w="959"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4.99%</w:t>
            </w:r>
          </w:p>
        </w:tc>
        <w:tc>
          <w:tcPr>
            <w:tcW w:w="130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16,700,936</w:t>
            </w:r>
          </w:p>
        </w:tc>
        <w:tc>
          <w:tcPr>
            <w:tcW w:w="92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7.73%</w:t>
            </w:r>
          </w:p>
        </w:tc>
        <w:tc>
          <w:tcPr>
            <w:tcW w:w="128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25,834,025</w:t>
            </w:r>
          </w:p>
        </w:tc>
        <w:tc>
          <w:tcPr>
            <w:tcW w:w="110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9.66%</w:t>
            </w:r>
          </w:p>
        </w:tc>
        <w:tc>
          <w:tcPr>
            <w:tcW w:w="1375"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32,292,531</w:t>
            </w:r>
          </w:p>
        </w:tc>
      </w:tr>
      <w:tr w:rsidR="002B64AE" w:rsidRPr="00750F30"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1 in 12</w:t>
            </w:r>
          </w:p>
        </w:tc>
        <w:tc>
          <w:tcPr>
            <w:tcW w:w="959"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4.05%</w:t>
            </w:r>
          </w:p>
        </w:tc>
        <w:tc>
          <w:tcPr>
            <w:tcW w:w="130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13,557,257</w:t>
            </w:r>
          </w:p>
        </w:tc>
        <w:tc>
          <w:tcPr>
            <w:tcW w:w="92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6.36%</w:t>
            </w:r>
          </w:p>
        </w:tc>
        <w:tc>
          <w:tcPr>
            <w:tcW w:w="128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21,259,706</w:t>
            </w:r>
          </w:p>
        </w:tc>
        <w:tc>
          <w:tcPr>
            <w:tcW w:w="110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7.95%</w:t>
            </w:r>
          </w:p>
        </w:tc>
        <w:tc>
          <w:tcPr>
            <w:tcW w:w="1375"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26,574,632</w:t>
            </w:r>
          </w:p>
        </w:tc>
      </w:tr>
      <w:tr w:rsidR="002B64AE" w:rsidRPr="00750F30" w:rsidTr="0052646B">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2B64AE" w:rsidRPr="00750F30" w:rsidRDefault="002B64AE" w:rsidP="0052646B">
            <w:pPr>
              <w:spacing w:after="0"/>
              <w:jc w:val="center"/>
              <w:rPr>
                <w:rFonts w:eastAsia="Times New Roman"/>
                <w:color w:val="000000"/>
                <w:sz w:val="18"/>
                <w:szCs w:val="18"/>
                <w:lang w:eastAsia="en-GB"/>
              </w:rPr>
            </w:pPr>
            <w:r w:rsidRPr="00750F30">
              <w:rPr>
                <w:rFonts w:eastAsia="Times New Roman"/>
                <w:color w:val="000000"/>
                <w:sz w:val="18"/>
                <w:szCs w:val="18"/>
                <w:lang w:eastAsia="en-GB"/>
              </w:rPr>
              <w:t>1 in 15</w:t>
            </w:r>
          </w:p>
        </w:tc>
        <w:tc>
          <w:tcPr>
            <w:tcW w:w="959"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3.07%</w:t>
            </w:r>
          </w:p>
        </w:tc>
        <w:tc>
          <w:tcPr>
            <w:tcW w:w="130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10,265,067</w:t>
            </w:r>
          </w:p>
        </w:tc>
        <w:tc>
          <w:tcPr>
            <w:tcW w:w="92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4.88%</w:t>
            </w:r>
          </w:p>
        </w:tc>
        <w:tc>
          <w:tcPr>
            <w:tcW w:w="1280"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16,316,646</w:t>
            </w:r>
          </w:p>
        </w:tc>
        <w:tc>
          <w:tcPr>
            <w:tcW w:w="1106"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6.10%</w:t>
            </w:r>
          </w:p>
        </w:tc>
        <w:tc>
          <w:tcPr>
            <w:tcW w:w="1375" w:type="dxa"/>
            <w:tcBorders>
              <w:top w:val="nil"/>
              <w:left w:val="nil"/>
              <w:bottom w:val="single" w:sz="4" w:space="0" w:color="auto"/>
              <w:right w:val="single" w:sz="4" w:space="0" w:color="auto"/>
            </w:tcBorders>
            <w:shd w:val="clear" w:color="auto" w:fill="auto"/>
            <w:noWrap/>
            <w:vAlign w:val="bottom"/>
            <w:hideMark/>
          </w:tcPr>
          <w:p w:rsidR="002B64AE" w:rsidRPr="00750F30" w:rsidRDefault="002B64AE" w:rsidP="0052646B">
            <w:pPr>
              <w:spacing w:after="0"/>
              <w:jc w:val="right"/>
              <w:rPr>
                <w:rFonts w:eastAsia="Times New Roman"/>
                <w:color w:val="000000"/>
                <w:sz w:val="18"/>
                <w:szCs w:val="18"/>
                <w:lang w:eastAsia="en-GB"/>
              </w:rPr>
            </w:pPr>
            <w:r w:rsidRPr="00750F30">
              <w:rPr>
                <w:rFonts w:eastAsia="Times New Roman"/>
                <w:color w:val="000000"/>
                <w:sz w:val="18"/>
                <w:szCs w:val="18"/>
                <w:lang w:eastAsia="en-GB"/>
              </w:rPr>
              <w:t>20,395,808</w:t>
            </w:r>
          </w:p>
        </w:tc>
      </w:tr>
    </w:tbl>
    <w:p w:rsidR="00560B3C" w:rsidRPr="00FE24C0" w:rsidRDefault="00560B3C" w:rsidP="000E35EC">
      <w:pPr>
        <w:pStyle w:val="Source"/>
      </w:pPr>
      <w:r w:rsidRPr="00FE24C0">
        <w:t>Authors</w:t>
      </w:r>
      <w:r w:rsidR="0041297C" w:rsidRPr="00FE24C0">
        <w:t xml:space="preserve">: See Chapter 5 and Annex </w:t>
      </w:r>
      <w:r w:rsidR="00D07306" w:rsidRPr="00FE24C0">
        <w:t xml:space="preserve">2 </w:t>
      </w:r>
      <w:r w:rsidR="0041297C" w:rsidRPr="00FE24C0">
        <w:t>for further details</w:t>
      </w:r>
      <w:r w:rsidR="000F71D8" w:rsidRPr="00FE24C0">
        <w:t>.</w:t>
      </w:r>
    </w:p>
    <w:p w:rsidR="000C6233" w:rsidRPr="00F61B71" w:rsidRDefault="005C72E9" w:rsidP="00F61B71">
      <w:pPr>
        <w:pStyle w:val="WBReport"/>
      </w:pPr>
      <w:r w:rsidRPr="00536C63">
        <w:rPr>
          <w:b/>
          <w:i/>
        </w:rPr>
        <w:t>A comparison of the premiums Government would have paid out over the past 20 years and the benefits it would have received in terms of claims payouts over the same period under the NDVI program are shown in Table 6.</w:t>
      </w:r>
      <w:r w:rsidR="0041297C" w:rsidRPr="00536C63">
        <w:rPr>
          <w:b/>
          <w:i/>
        </w:rPr>
        <w:t>2</w:t>
      </w:r>
      <w:r w:rsidR="001A24FC" w:rsidRPr="00536C63">
        <w:rPr>
          <w:b/>
          <w:i/>
        </w:rPr>
        <w:t>.</w:t>
      </w:r>
      <w:r w:rsidR="001A24FC" w:rsidRPr="00FE24C0">
        <w:rPr>
          <w:i/>
        </w:rPr>
        <w:t xml:space="preserve"> </w:t>
      </w:r>
      <w:r w:rsidR="001A24FC" w:rsidRPr="00F61B71">
        <w:t xml:space="preserve">This analysis is presented for the 12 year pay-back period and with an annual premium payment of about AR$ </w:t>
      </w:r>
      <w:r w:rsidR="00D85677" w:rsidRPr="00F61B71">
        <w:t>2</w:t>
      </w:r>
      <w:r w:rsidR="00D85677">
        <w:t>7</w:t>
      </w:r>
      <w:r w:rsidR="00D85677" w:rsidRPr="00F61B71">
        <w:t xml:space="preserve"> </w:t>
      </w:r>
      <w:r w:rsidR="001A24FC" w:rsidRPr="00F61B71">
        <w:t>million</w:t>
      </w:r>
      <w:r w:rsidR="00D85677">
        <w:t xml:space="preserve"> (see Table 6.1)</w:t>
      </w:r>
      <w:r w:rsidR="001A24FC" w:rsidRPr="00F61B71">
        <w:t>. Over the past ten years (2000 to 2009) the government would have received AR$ 0.</w:t>
      </w:r>
      <w:r w:rsidR="00D85677">
        <w:t>72</w:t>
      </w:r>
      <w:r w:rsidR="00D85677" w:rsidRPr="00F61B71">
        <w:t xml:space="preserve"> </w:t>
      </w:r>
      <w:r w:rsidR="001A24FC" w:rsidRPr="00F61B71">
        <w:t>for every AR$ 1.00 spent in insurance premiums. However, if the same analysis is looked at over the past five, two and one years, the benefit to cost ratio to the government rises significantly due to the very severe drought payouts of 2008 and 2009: over the past two years government would have received AR$ 2.</w:t>
      </w:r>
      <w:r w:rsidR="00D85677">
        <w:t>56</w:t>
      </w:r>
      <w:r w:rsidR="00D85677" w:rsidRPr="00F61B71">
        <w:t xml:space="preserve"> </w:t>
      </w:r>
      <w:r w:rsidR="001A24FC" w:rsidRPr="00F61B71">
        <w:t>in payouts for every AR$ 1.00 spent on the NDVI cover in SWBA.</w:t>
      </w:r>
    </w:p>
    <w:p w:rsidR="005C72E9" w:rsidRPr="00FE24C0" w:rsidRDefault="00B720E9" w:rsidP="00EF4AC4">
      <w:pPr>
        <w:pStyle w:val="HeadFiguresTablesBoxes"/>
      </w:pPr>
      <w:proofErr w:type="gramStart"/>
      <w:r w:rsidRPr="00FE24C0">
        <w:t>Table 6.</w:t>
      </w:r>
      <w:r w:rsidR="0041297C" w:rsidRPr="00FE24C0">
        <w:t>2</w:t>
      </w:r>
      <w:r w:rsidRPr="00FE24C0">
        <w:t>.</w:t>
      </w:r>
      <w:proofErr w:type="gramEnd"/>
      <w:r w:rsidRPr="00FE24C0">
        <w:t xml:space="preserve">  </w:t>
      </w:r>
      <w:r w:rsidR="00C96BC6" w:rsidRPr="00FE24C0">
        <w:t>“</w:t>
      </w:r>
      <w:r w:rsidRPr="00FE24C0">
        <w:t>As If Analysis</w:t>
      </w:r>
      <w:r w:rsidR="00C96BC6" w:rsidRPr="00FE24C0">
        <w:t>”</w:t>
      </w:r>
      <w:r w:rsidRPr="00FE24C0">
        <w:t xml:space="preserve"> of NDVI Benefit to Cost Ratio for Government (12 year payback option)</w:t>
      </w:r>
    </w:p>
    <w:tbl>
      <w:tblPr>
        <w:tblW w:w="7518" w:type="dxa"/>
        <w:tblInd w:w="103" w:type="dxa"/>
        <w:tblLook w:val="04A0"/>
      </w:tblPr>
      <w:tblGrid>
        <w:gridCol w:w="1706"/>
        <w:gridCol w:w="1843"/>
        <w:gridCol w:w="1843"/>
        <w:gridCol w:w="2126"/>
      </w:tblGrid>
      <w:tr w:rsidR="005C72E9" w:rsidRPr="00FE24C0" w:rsidTr="005C72E9">
        <w:trPr>
          <w:trHeight w:val="285"/>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2E9" w:rsidRPr="00FE24C0" w:rsidRDefault="005C72E9" w:rsidP="005C72E9">
            <w:pPr>
              <w:spacing w:after="0"/>
              <w:jc w:val="center"/>
              <w:rPr>
                <w:rFonts w:eastAsia="Times New Roman"/>
                <w:b/>
                <w:bCs/>
                <w:color w:val="000000"/>
                <w:sz w:val="18"/>
                <w:szCs w:val="18"/>
                <w:lang w:eastAsia="en-GB"/>
              </w:rPr>
            </w:pPr>
            <w:r w:rsidRPr="00FE24C0">
              <w:rPr>
                <w:rFonts w:eastAsia="Times New Roman"/>
                <w:b/>
                <w:bCs/>
                <w:color w:val="000000"/>
                <w:sz w:val="18"/>
                <w:szCs w:val="18"/>
                <w:lang w:eastAsia="en-GB"/>
              </w:rPr>
              <w:t>Time Period (most recent Years)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C72E9" w:rsidRPr="00FE24C0" w:rsidRDefault="00B720E9" w:rsidP="005C72E9">
            <w:pPr>
              <w:spacing w:after="0"/>
              <w:jc w:val="center"/>
              <w:rPr>
                <w:rFonts w:eastAsia="Times New Roman"/>
                <w:b/>
                <w:bCs/>
                <w:color w:val="000000"/>
                <w:sz w:val="20"/>
                <w:szCs w:val="20"/>
                <w:lang w:eastAsia="en-GB"/>
              </w:rPr>
            </w:pPr>
            <w:r w:rsidRPr="00FE24C0">
              <w:rPr>
                <w:rFonts w:eastAsia="Times New Roman"/>
                <w:b/>
                <w:bCs/>
                <w:color w:val="000000"/>
                <w:sz w:val="20"/>
                <w:szCs w:val="20"/>
                <w:lang w:eastAsia="en-GB"/>
              </w:rPr>
              <w:t xml:space="preserve">Accumulated </w:t>
            </w:r>
            <w:r w:rsidR="005C72E9" w:rsidRPr="00FE24C0">
              <w:rPr>
                <w:rFonts w:eastAsia="Times New Roman"/>
                <w:b/>
                <w:bCs/>
                <w:color w:val="000000"/>
                <w:sz w:val="20"/>
                <w:szCs w:val="20"/>
                <w:lang w:eastAsia="en-GB"/>
              </w:rPr>
              <w:t>Premium (AR$)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C72E9" w:rsidRPr="00FE24C0" w:rsidRDefault="00B720E9" w:rsidP="005C72E9">
            <w:pPr>
              <w:spacing w:after="0"/>
              <w:jc w:val="center"/>
              <w:rPr>
                <w:rFonts w:eastAsia="Times New Roman"/>
                <w:b/>
                <w:bCs/>
                <w:color w:val="000000"/>
                <w:sz w:val="20"/>
                <w:szCs w:val="20"/>
                <w:lang w:eastAsia="en-GB"/>
              </w:rPr>
            </w:pPr>
            <w:r w:rsidRPr="00FE24C0">
              <w:rPr>
                <w:rFonts w:eastAsia="Times New Roman"/>
                <w:b/>
                <w:bCs/>
                <w:color w:val="000000"/>
                <w:sz w:val="20"/>
                <w:szCs w:val="20"/>
                <w:lang w:eastAsia="en-GB"/>
              </w:rPr>
              <w:t xml:space="preserve">Accumulated </w:t>
            </w:r>
            <w:r w:rsidR="005C72E9" w:rsidRPr="00FE24C0">
              <w:rPr>
                <w:rFonts w:eastAsia="Times New Roman"/>
                <w:b/>
                <w:bCs/>
                <w:color w:val="000000"/>
                <w:sz w:val="20"/>
                <w:szCs w:val="20"/>
                <w:lang w:eastAsia="en-GB"/>
              </w:rPr>
              <w:t xml:space="preserve">Claims </w:t>
            </w:r>
            <w:r w:rsidRPr="00FE24C0">
              <w:rPr>
                <w:rFonts w:eastAsia="Times New Roman"/>
                <w:b/>
                <w:bCs/>
                <w:color w:val="000000"/>
                <w:sz w:val="20"/>
                <w:szCs w:val="20"/>
                <w:lang w:eastAsia="en-GB"/>
              </w:rPr>
              <w:t xml:space="preserve">Payouts </w:t>
            </w:r>
            <w:r w:rsidR="005C72E9" w:rsidRPr="00FE24C0">
              <w:rPr>
                <w:rFonts w:eastAsia="Times New Roman"/>
                <w:b/>
                <w:bCs/>
                <w:color w:val="000000"/>
                <w:sz w:val="20"/>
                <w:szCs w:val="20"/>
                <w:lang w:eastAsia="en-GB"/>
              </w:rPr>
              <w:t>(AR$)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C72E9" w:rsidRPr="00FE24C0" w:rsidRDefault="005C72E9" w:rsidP="005C72E9">
            <w:pPr>
              <w:spacing w:after="0"/>
              <w:jc w:val="center"/>
              <w:rPr>
                <w:rFonts w:eastAsia="Times New Roman"/>
                <w:b/>
                <w:bCs/>
                <w:color w:val="000000"/>
                <w:sz w:val="20"/>
                <w:szCs w:val="20"/>
                <w:lang w:eastAsia="en-GB"/>
              </w:rPr>
            </w:pPr>
            <w:r w:rsidRPr="00FE24C0">
              <w:rPr>
                <w:rFonts w:eastAsia="Times New Roman"/>
                <w:b/>
                <w:bCs/>
                <w:color w:val="000000"/>
                <w:sz w:val="20"/>
                <w:szCs w:val="20"/>
                <w:lang w:eastAsia="en-GB"/>
              </w:rPr>
              <w:t>Claims to Premi</w:t>
            </w:r>
            <w:r w:rsidR="00F83634" w:rsidRPr="00FE24C0">
              <w:rPr>
                <w:rFonts w:eastAsia="Times New Roman"/>
                <w:b/>
                <w:bCs/>
                <w:color w:val="000000"/>
                <w:sz w:val="20"/>
                <w:szCs w:val="20"/>
                <w:lang w:eastAsia="en-GB"/>
              </w:rPr>
              <w:t>um Ratio (</w:t>
            </w:r>
            <w:r w:rsidR="00937F0B" w:rsidRPr="00FE24C0">
              <w:rPr>
                <w:rFonts w:eastAsia="Times New Roman"/>
                <w:b/>
                <w:bCs/>
                <w:color w:val="000000"/>
                <w:sz w:val="20"/>
                <w:szCs w:val="20"/>
                <w:lang w:eastAsia="en-GB"/>
              </w:rPr>
              <w:t>Benefit</w:t>
            </w:r>
            <w:r w:rsidR="00F83634" w:rsidRPr="00FE24C0">
              <w:rPr>
                <w:rFonts w:eastAsia="Times New Roman"/>
                <w:b/>
                <w:bCs/>
                <w:color w:val="000000"/>
                <w:sz w:val="20"/>
                <w:szCs w:val="20"/>
                <w:lang w:eastAsia="en-GB"/>
              </w:rPr>
              <w:t xml:space="preserve"> : Cost Ratio</w:t>
            </w:r>
            <w:r w:rsidRPr="00FE24C0">
              <w:rPr>
                <w:rFonts w:eastAsia="Times New Roman"/>
                <w:b/>
                <w:bCs/>
                <w:color w:val="000000"/>
                <w:sz w:val="20"/>
                <w:szCs w:val="20"/>
                <w:lang w:eastAsia="en-GB"/>
              </w:rPr>
              <w:t>)</w:t>
            </w:r>
          </w:p>
        </w:tc>
      </w:tr>
      <w:tr w:rsidR="005C72E9" w:rsidRPr="00FE24C0" w:rsidTr="005C72E9">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20</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F0451" w:rsidP="005C72E9">
            <w:pPr>
              <w:spacing w:after="0"/>
              <w:jc w:val="center"/>
              <w:rPr>
                <w:rFonts w:eastAsia="Times New Roman"/>
                <w:color w:val="000000"/>
                <w:sz w:val="20"/>
                <w:szCs w:val="20"/>
                <w:lang w:eastAsia="en-GB"/>
              </w:rPr>
            </w:pPr>
            <w:r>
              <w:rPr>
                <w:rFonts w:eastAsia="Times New Roman"/>
                <w:color w:val="000000"/>
                <w:sz w:val="20"/>
                <w:szCs w:val="20"/>
                <w:lang w:eastAsia="en-GB"/>
              </w:rPr>
              <w:t>531,492,646</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336,185,167</w:t>
            </w:r>
          </w:p>
        </w:tc>
        <w:tc>
          <w:tcPr>
            <w:tcW w:w="2126" w:type="dxa"/>
            <w:tcBorders>
              <w:top w:val="nil"/>
              <w:left w:val="nil"/>
              <w:bottom w:val="single" w:sz="4" w:space="0" w:color="auto"/>
              <w:right w:val="single" w:sz="4" w:space="0" w:color="auto"/>
            </w:tcBorders>
            <w:shd w:val="clear" w:color="auto" w:fill="auto"/>
            <w:noWrap/>
            <w:vAlign w:val="bottom"/>
            <w:hideMark/>
          </w:tcPr>
          <w:p w:rsidR="005C72E9" w:rsidRPr="00FE24C0" w:rsidRDefault="005F0451" w:rsidP="005C72E9">
            <w:pPr>
              <w:spacing w:after="0"/>
              <w:jc w:val="center"/>
              <w:rPr>
                <w:rFonts w:eastAsia="Times New Roman"/>
                <w:color w:val="000000"/>
                <w:sz w:val="20"/>
                <w:szCs w:val="20"/>
                <w:lang w:eastAsia="en-GB"/>
              </w:rPr>
            </w:pPr>
            <w:r>
              <w:rPr>
                <w:rFonts w:eastAsia="Times New Roman"/>
                <w:color w:val="000000"/>
                <w:sz w:val="20"/>
                <w:szCs w:val="20"/>
                <w:lang w:eastAsia="en-GB"/>
              </w:rPr>
              <w:t>63</w:t>
            </w:r>
            <w:r w:rsidR="005C72E9" w:rsidRPr="00FE24C0">
              <w:rPr>
                <w:rFonts w:eastAsia="Times New Roman"/>
                <w:color w:val="000000"/>
                <w:sz w:val="20"/>
                <w:szCs w:val="20"/>
                <w:lang w:eastAsia="en-GB"/>
              </w:rPr>
              <w:t>%</w:t>
            </w:r>
          </w:p>
        </w:tc>
      </w:tr>
      <w:tr w:rsidR="005C72E9" w:rsidRPr="00FE24C0" w:rsidTr="005C72E9">
        <w:trPr>
          <w:trHeight w:val="27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15</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F0451" w:rsidP="005C72E9">
            <w:pPr>
              <w:spacing w:after="0"/>
              <w:jc w:val="center"/>
              <w:rPr>
                <w:rFonts w:eastAsia="Times New Roman"/>
                <w:color w:val="000000"/>
                <w:sz w:val="20"/>
                <w:szCs w:val="20"/>
                <w:lang w:eastAsia="en-GB"/>
              </w:rPr>
            </w:pPr>
            <w:r>
              <w:rPr>
                <w:rFonts w:eastAsia="Times New Roman"/>
                <w:color w:val="000000"/>
                <w:sz w:val="20"/>
                <w:szCs w:val="20"/>
                <w:lang w:eastAsia="en-GB"/>
              </w:rPr>
              <w:t>398,619,484</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230,475,563</w:t>
            </w:r>
          </w:p>
        </w:tc>
        <w:tc>
          <w:tcPr>
            <w:tcW w:w="2126" w:type="dxa"/>
            <w:tcBorders>
              <w:top w:val="nil"/>
              <w:left w:val="nil"/>
              <w:bottom w:val="single" w:sz="4" w:space="0" w:color="auto"/>
              <w:right w:val="single" w:sz="4" w:space="0" w:color="auto"/>
            </w:tcBorders>
            <w:shd w:val="clear" w:color="auto" w:fill="auto"/>
            <w:noWrap/>
            <w:vAlign w:val="bottom"/>
            <w:hideMark/>
          </w:tcPr>
          <w:p w:rsidR="005C72E9" w:rsidRPr="00FE24C0" w:rsidRDefault="005F0451" w:rsidP="005C72E9">
            <w:pPr>
              <w:spacing w:after="0"/>
              <w:jc w:val="center"/>
              <w:rPr>
                <w:rFonts w:eastAsia="Times New Roman"/>
                <w:color w:val="000000"/>
                <w:sz w:val="20"/>
                <w:szCs w:val="20"/>
                <w:lang w:eastAsia="en-GB"/>
              </w:rPr>
            </w:pPr>
            <w:r>
              <w:rPr>
                <w:rFonts w:eastAsia="Times New Roman"/>
                <w:color w:val="000000"/>
                <w:sz w:val="20"/>
                <w:szCs w:val="20"/>
                <w:lang w:eastAsia="en-GB"/>
              </w:rPr>
              <w:t>58</w:t>
            </w:r>
            <w:r w:rsidR="005C72E9" w:rsidRPr="00FE24C0">
              <w:rPr>
                <w:rFonts w:eastAsia="Times New Roman"/>
                <w:color w:val="000000"/>
                <w:sz w:val="20"/>
                <w:szCs w:val="20"/>
                <w:lang w:eastAsia="en-GB"/>
              </w:rPr>
              <w:t>%</w:t>
            </w:r>
          </w:p>
        </w:tc>
      </w:tr>
      <w:tr w:rsidR="005C72E9" w:rsidRPr="00FE24C0" w:rsidTr="005C72E9">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10</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F0451" w:rsidP="005C72E9">
            <w:pPr>
              <w:spacing w:after="0"/>
              <w:jc w:val="center"/>
              <w:rPr>
                <w:rFonts w:eastAsia="Times New Roman"/>
                <w:color w:val="000000"/>
                <w:sz w:val="20"/>
                <w:szCs w:val="20"/>
                <w:lang w:eastAsia="en-GB"/>
              </w:rPr>
            </w:pPr>
            <w:r>
              <w:rPr>
                <w:rFonts w:eastAsia="Times New Roman"/>
                <w:color w:val="000000"/>
                <w:sz w:val="20"/>
                <w:szCs w:val="20"/>
                <w:lang w:eastAsia="en-GB"/>
              </w:rPr>
              <w:t>265,746,323</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191,359,592</w:t>
            </w:r>
          </w:p>
        </w:tc>
        <w:tc>
          <w:tcPr>
            <w:tcW w:w="2126"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72</w:t>
            </w:r>
            <w:r w:rsidR="005C72E9" w:rsidRPr="00FE24C0">
              <w:rPr>
                <w:rFonts w:eastAsia="Times New Roman"/>
                <w:color w:val="000000"/>
                <w:sz w:val="20"/>
                <w:szCs w:val="20"/>
                <w:lang w:eastAsia="en-GB"/>
              </w:rPr>
              <w:t>%</w:t>
            </w:r>
          </w:p>
        </w:tc>
      </w:tr>
      <w:tr w:rsidR="005C72E9" w:rsidRPr="00FE24C0" w:rsidTr="005C72E9">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5</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132,873,161</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166,562,495</w:t>
            </w:r>
          </w:p>
        </w:tc>
        <w:tc>
          <w:tcPr>
            <w:tcW w:w="2126"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125</w:t>
            </w:r>
            <w:r w:rsidR="005C72E9" w:rsidRPr="00FE24C0">
              <w:rPr>
                <w:rFonts w:eastAsia="Times New Roman"/>
                <w:color w:val="000000"/>
                <w:sz w:val="20"/>
                <w:szCs w:val="20"/>
                <w:lang w:eastAsia="en-GB"/>
              </w:rPr>
              <w:t>%</w:t>
            </w:r>
          </w:p>
        </w:tc>
      </w:tr>
      <w:tr w:rsidR="005C72E9" w:rsidRPr="00FE24C0" w:rsidTr="005C72E9">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2</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53,149,265</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136,148,550</w:t>
            </w:r>
          </w:p>
        </w:tc>
        <w:tc>
          <w:tcPr>
            <w:tcW w:w="2126"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256</w:t>
            </w:r>
            <w:r w:rsidR="005C72E9" w:rsidRPr="00FE24C0">
              <w:rPr>
                <w:rFonts w:eastAsia="Times New Roman"/>
                <w:color w:val="000000"/>
                <w:sz w:val="20"/>
                <w:szCs w:val="20"/>
                <w:lang w:eastAsia="en-GB"/>
              </w:rPr>
              <w:t>%</w:t>
            </w:r>
          </w:p>
        </w:tc>
      </w:tr>
      <w:tr w:rsidR="00B720E9" w:rsidRPr="00FE24C0" w:rsidTr="005C72E9">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26,574,632</w:t>
            </w:r>
          </w:p>
        </w:tc>
        <w:tc>
          <w:tcPr>
            <w:tcW w:w="1843" w:type="dxa"/>
            <w:tcBorders>
              <w:top w:val="nil"/>
              <w:left w:val="nil"/>
              <w:bottom w:val="single" w:sz="4" w:space="0" w:color="auto"/>
              <w:right w:val="single" w:sz="4" w:space="0" w:color="auto"/>
            </w:tcBorders>
            <w:shd w:val="clear" w:color="auto" w:fill="auto"/>
            <w:noWrap/>
            <w:vAlign w:val="bottom"/>
            <w:hideMark/>
          </w:tcPr>
          <w:p w:rsidR="005C72E9" w:rsidRPr="00FE24C0" w:rsidRDefault="005C72E9" w:rsidP="005C72E9">
            <w:pPr>
              <w:spacing w:after="0"/>
              <w:jc w:val="center"/>
              <w:rPr>
                <w:rFonts w:eastAsia="Times New Roman"/>
                <w:color w:val="000000"/>
                <w:sz w:val="20"/>
                <w:szCs w:val="20"/>
                <w:lang w:eastAsia="en-GB"/>
              </w:rPr>
            </w:pPr>
            <w:r w:rsidRPr="00FE24C0">
              <w:rPr>
                <w:rFonts w:eastAsia="Times New Roman"/>
                <w:color w:val="000000"/>
                <w:sz w:val="20"/>
                <w:szCs w:val="20"/>
                <w:lang w:eastAsia="en-GB"/>
              </w:rPr>
              <w:t>96,359,499</w:t>
            </w:r>
          </w:p>
        </w:tc>
        <w:tc>
          <w:tcPr>
            <w:tcW w:w="2126" w:type="dxa"/>
            <w:tcBorders>
              <w:top w:val="nil"/>
              <w:left w:val="nil"/>
              <w:bottom w:val="single" w:sz="4" w:space="0" w:color="auto"/>
              <w:right w:val="single" w:sz="4" w:space="0" w:color="auto"/>
            </w:tcBorders>
            <w:shd w:val="clear" w:color="auto" w:fill="auto"/>
            <w:noWrap/>
            <w:vAlign w:val="bottom"/>
            <w:hideMark/>
          </w:tcPr>
          <w:p w:rsidR="005C72E9" w:rsidRPr="00FE24C0" w:rsidRDefault="00D85677" w:rsidP="005C72E9">
            <w:pPr>
              <w:spacing w:after="0"/>
              <w:jc w:val="center"/>
              <w:rPr>
                <w:rFonts w:eastAsia="Times New Roman"/>
                <w:color w:val="000000"/>
                <w:sz w:val="20"/>
                <w:szCs w:val="20"/>
                <w:lang w:eastAsia="en-GB"/>
              </w:rPr>
            </w:pPr>
            <w:r>
              <w:rPr>
                <w:rFonts w:eastAsia="Times New Roman"/>
                <w:color w:val="000000"/>
                <w:sz w:val="20"/>
                <w:szCs w:val="20"/>
                <w:lang w:eastAsia="en-GB"/>
              </w:rPr>
              <w:t>363</w:t>
            </w:r>
            <w:r w:rsidR="005C72E9" w:rsidRPr="00FE24C0">
              <w:rPr>
                <w:rFonts w:eastAsia="Times New Roman"/>
                <w:color w:val="000000"/>
                <w:sz w:val="20"/>
                <w:szCs w:val="20"/>
                <w:lang w:eastAsia="en-GB"/>
              </w:rPr>
              <w:t>%</w:t>
            </w:r>
          </w:p>
        </w:tc>
      </w:tr>
    </w:tbl>
    <w:p w:rsidR="005C72E9" w:rsidRPr="00FE24C0" w:rsidRDefault="00B720E9" w:rsidP="000E35EC">
      <w:pPr>
        <w:pStyle w:val="Source"/>
      </w:pPr>
      <w:r w:rsidRPr="00FE24C0">
        <w:t>Source: Authors’ analysis, NDVI Rating Model</w:t>
      </w:r>
    </w:p>
    <w:p w:rsidR="000C6233" w:rsidRPr="00FE24C0" w:rsidRDefault="00F83634" w:rsidP="00F61B71">
      <w:pPr>
        <w:pStyle w:val="WBReport"/>
        <w:rPr>
          <w:i/>
        </w:rPr>
      </w:pPr>
      <w:r w:rsidRPr="00F61B71">
        <w:rPr>
          <w:b/>
          <w:i/>
        </w:rPr>
        <w:t>T</w:t>
      </w:r>
      <w:r w:rsidR="008D4775" w:rsidRPr="00F61B71">
        <w:rPr>
          <w:b/>
          <w:i/>
        </w:rPr>
        <w:t xml:space="preserve">he </w:t>
      </w:r>
      <w:r w:rsidR="00EC1AEE" w:rsidRPr="00F61B71">
        <w:rPr>
          <w:b/>
          <w:i/>
        </w:rPr>
        <w:t>Federal G</w:t>
      </w:r>
      <w:r w:rsidR="00C96BC6" w:rsidRPr="00F61B71">
        <w:rPr>
          <w:b/>
          <w:i/>
        </w:rPr>
        <w:t>overnment</w:t>
      </w:r>
      <w:r w:rsidR="00EC1AEE" w:rsidRPr="00F61B71">
        <w:rPr>
          <w:b/>
          <w:i/>
        </w:rPr>
        <w:t xml:space="preserve"> of Argentina</w:t>
      </w:r>
      <w:r w:rsidR="00C96BC6" w:rsidRPr="00F61B71">
        <w:rPr>
          <w:b/>
          <w:i/>
        </w:rPr>
        <w:t xml:space="preserve"> or the </w:t>
      </w:r>
      <w:r w:rsidR="008D4775" w:rsidRPr="00F61B71">
        <w:rPr>
          <w:b/>
          <w:i/>
        </w:rPr>
        <w:t xml:space="preserve">Provincial </w:t>
      </w:r>
      <w:r w:rsidR="00EC1AEE" w:rsidRPr="00F61B71">
        <w:rPr>
          <w:b/>
          <w:i/>
        </w:rPr>
        <w:t>G</w:t>
      </w:r>
      <w:r w:rsidR="00C97BD5" w:rsidRPr="00F61B71">
        <w:rPr>
          <w:b/>
          <w:i/>
        </w:rPr>
        <w:t xml:space="preserve">overnment </w:t>
      </w:r>
      <w:r w:rsidR="008D4775" w:rsidRPr="00F61B71">
        <w:rPr>
          <w:b/>
          <w:i/>
        </w:rPr>
        <w:t>of B</w:t>
      </w:r>
      <w:r w:rsidR="00EC1AEE" w:rsidRPr="00F61B71">
        <w:rPr>
          <w:b/>
          <w:i/>
        </w:rPr>
        <w:t xml:space="preserve">uenos </w:t>
      </w:r>
      <w:r w:rsidR="008D4775" w:rsidRPr="00F61B71">
        <w:rPr>
          <w:b/>
          <w:i/>
        </w:rPr>
        <w:t>A</w:t>
      </w:r>
      <w:r w:rsidR="00EC1AEE" w:rsidRPr="00F61B71">
        <w:rPr>
          <w:b/>
          <w:i/>
        </w:rPr>
        <w:t>ires</w:t>
      </w:r>
      <w:r w:rsidR="008D4775" w:rsidRPr="00F61B71">
        <w:rPr>
          <w:b/>
          <w:i/>
        </w:rPr>
        <w:t xml:space="preserve"> </w:t>
      </w:r>
      <w:r w:rsidR="00C97BD5" w:rsidRPr="00F61B71">
        <w:rPr>
          <w:b/>
          <w:i/>
        </w:rPr>
        <w:t>w</w:t>
      </w:r>
      <w:r w:rsidRPr="00F61B71">
        <w:rPr>
          <w:b/>
          <w:i/>
        </w:rPr>
        <w:t>ill</w:t>
      </w:r>
      <w:r w:rsidR="00C97BD5" w:rsidRPr="00F61B71">
        <w:rPr>
          <w:b/>
          <w:i/>
        </w:rPr>
        <w:t xml:space="preserve"> need to decide whether it w</w:t>
      </w:r>
      <w:r w:rsidRPr="00F61B71">
        <w:rPr>
          <w:b/>
          <w:i/>
        </w:rPr>
        <w:t>ill</w:t>
      </w:r>
      <w:r w:rsidR="00C97BD5" w:rsidRPr="00F61B71">
        <w:rPr>
          <w:b/>
          <w:i/>
        </w:rPr>
        <w:t xml:space="preserve"> cover 100% of the </w:t>
      </w:r>
      <w:r w:rsidR="008D4775" w:rsidRPr="00F61B71">
        <w:rPr>
          <w:b/>
          <w:i/>
        </w:rPr>
        <w:t xml:space="preserve">NDVI program </w:t>
      </w:r>
      <w:r w:rsidR="00C97BD5" w:rsidRPr="00F61B71">
        <w:rPr>
          <w:b/>
          <w:i/>
        </w:rPr>
        <w:t>commercial premium by itself</w:t>
      </w:r>
      <w:r w:rsidR="001A24FC" w:rsidRPr="00F61B71">
        <w:rPr>
          <w:b/>
          <w:i/>
        </w:rPr>
        <w:t>,</w:t>
      </w:r>
      <w:r w:rsidR="001A24FC" w:rsidRPr="00FE24C0">
        <w:rPr>
          <w:i/>
        </w:rPr>
        <w:t xml:space="preserve"> </w:t>
      </w:r>
      <w:r w:rsidR="001A24FC" w:rsidRPr="00F61B71">
        <w:t xml:space="preserve">or to seek a premium cost-sharing formula with the livestock industry and local associations and the cattle producers (the beneficiaries), who will be automatically insured under the macro-level NDVI policy. It would, however, potentially be much harder to implement an automatic NDVI product if livestock producers in SWBA are required to contribute to the costs of premiums and possibly this program would have to then revert to a voluntary insurance scheme, which is unlikely to be financially and operationally viable nor attractive to the Argentinean insurance companies and their reinsurers. Moreover, if the livestock producers contribute to the costs of premiums, an issue related to basis risk will arise: if a voluntary NDVI insurance scheme is implemented with the current pixel and Insured Unit spatial resolution, it is technically </w:t>
      </w:r>
      <w:r w:rsidR="001A24FC" w:rsidRPr="00F61B71">
        <w:lastRenderedPageBreak/>
        <w:t>improbable that the underlying index (NDVI) will show a satisfactory correlation with farmers´ actual loss. Under this circumstance, therefore, livestock producers would have the right to sue the insurer in case they have incurred a loss and the NDVI insurance policy has not triggered any payment (see Chapter 3 for further discussion of the issue of basis risk).</w:t>
      </w:r>
      <w:r w:rsidR="001A24FC" w:rsidRPr="00FE24C0">
        <w:rPr>
          <w:i/>
        </w:rPr>
        <w:t xml:space="preserve"> </w:t>
      </w:r>
    </w:p>
    <w:p w:rsidR="005F2F52" w:rsidRPr="00B20FEC" w:rsidRDefault="00F0345D" w:rsidP="005F2F52">
      <w:pPr>
        <w:pStyle w:val="APDroughtPara"/>
        <w:numPr>
          <w:ilvl w:val="0"/>
          <w:numId w:val="0"/>
        </w:numPr>
        <w:outlineLvl w:val="9"/>
        <w:rPr>
          <w:b/>
          <w:szCs w:val="22"/>
          <w:u w:val="single"/>
        </w:rPr>
      </w:pPr>
      <w:r w:rsidRPr="00F0345D">
        <w:rPr>
          <w:b/>
          <w:szCs w:val="22"/>
          <w:u w:val="single"/>
        </w:rPr>
        <w:t>Probable Maximum Loss</w:t>
      </w:r>
    </w:p>
    <w:p w:rsidR="000C6233" w:rsidRPr="00F61B71" w:rsidRDefault="00670E7C" w:rsidP="00F61B71">
      <w:pPr>
        <w:pStyle w:val="WBReport"/>
      </w:pPr>
      <w:r w:rsidRPr="00F61B71">
        <w:rPr>
          <w:b/>
          <w:i/>
        </w:rPr>
        <w:t>Underwriters typically base</w:t>
      </w:r>
      <w:r w:rsidR="008D4775" w:rsidRPr="00F61B71">
        <w:rPr>
          <w:b/>
          <w:i/>
        </w:rPr>
        <w:t xml:space="preserve"> their risk retention and reinsurance </w:t>
      </w:r>
      <w:r w:rsidR="005A1EC8" w:rsidRPr="00F61B71">
        <w:rPr>
          <w:b/>
          <w:i/>
        </w:rPr>
        <w:t>purchasing decisions</w:t>
      </w:r>
      <w:r w:rsidRPr="00F61B71">
        <w:rPr>
          <w:b/>
          <w:i/>
        </w:rPr>
        <w:t xml:space="preserve"> on an analysis of the Probable Maximum Loss, PML</w:t>
      </w:r>
      <w:r w:rsidR="008D4775" w:rsidRPr="00F61B71">
        <w:rPr>
          <w:b/>
          <w:i/>
        </w:rPr>
        <w:t>.</w:t>
      </w:r>
      <w:r w:rsidR="008D4775" w:rsidRPr="00FE24C0">
        <w:rPr>
          <w:i/>
        </w:rPr>
        <w:t xml:space="preserve"> </w:t>
      </w:r>
      <w:r w:rsidR="001A24FC" w:rsidRPr="00F61B71">
        <w:t>The Probable Maximum Loss is defined as “An estimate of the maximum loss that is likely to arise on the occurrence of a single event considered to be within the realms of probability, remote coincidences and possible but unlikely catastrophes being ignored”. The analysis of the PML is an invaluable aid to structuring an insurance and reinsurance program and to determining how much capital must be reserved to cover the PML loss year.  The methodology for calculating the PML was detailed in Chapter 5.</w:t>
      </w:r>
    </w:p>
    <w:p w:rsidR="000C6233" w:rsidRPr="00F61B71" w:rsidRDefault="001A24FC" w:rsidP="00F61B71">
      <w:pPr>
        <w:pStyle w:val="WBReport"/>
      </w:pPr>
      <w:r w:rsidRPr="00F61B71">
        <w:rPr>
          <w:b/>
          <w:i/>
        </w:rPr>
        <w:t>The PML estimates on this scheme are high which is a reflection both of the systemic nature of drought risk exposure in SWBA and the nature of a parametric index insurance cover which is designed to trigger payouts up to 100% of the total sum insured (liability).</w:t>
      </w:r>
      <w:r w:rsidRPr="00FE24C0">
        <w:rPr>
          <w:i/>
        </w:rPr>
        <w:t xml:space="preserve"> </w:t>
      </w:r>
      <w:r w:rsidRPr="00F61B71">
        <w:t xml:space="preserve">Table 6.3 shows the PMLs associated with 1 in 100 year, 1 in 50 </w:t>
      </w:r>
      <w:proofErr w:type="gramStart"/>
      <w:r w:rsidRPr="00F61B71">
        <w:t>year</w:t>
      </w:r>
      <w:proofErr w:type="gramEnd"/>
      <w:r w:rsidRPr="00F61B71">
        <w:t xml:space="preserve"> and 1 in 25 year return periods for the 1 in 7 up to 1 in 15 year payout frequencies any month on the cover period.  The 1 in 100 year PML is often used by insurers and reinsurers to set their capital requirements for covering a worst loss scenario. For the 1 in 7 year payout frequency, and 1 in 100 year PML, the expected PML payout is equivalent to nearly </w:t>
      </w:r>
      <w:r w:rsidR="00956C55">
        <w:t>77</w:t>
      </w:r>
      <w:r w:rsidRPr="00F61B71">
        <w:t>% of the Total Sum Insured or AR$</w:t>
      </w:r>
      <w:r w:rsidR="00DB7EC2">
        <w:t>258</w:t>
      </w:r>
      <w:r w:rsidR="00DB7EC2" w:rsidRPr="00F61B71">
        <w:t xml:space="preserve"> </w:t>
      </w:r>
      <w:r w:rsidRPr="00F61B71">
        <w:t xml:space="preserve">million: and this would be equivalent to a </w:t>
      </w:r>
      <w:r w:rsidR="00DB7EC2">
        <w:t>loss ratio</w:t>
      </w:r>
      <w:r w:rsidR="00DB7EC2" w:rsidRPr="00F61B71">
        <w:t xml:space="preserve"> </w:t>
      </w:r>
      <w:r w:rsidRPr="00F61B71">
        <w:t xml:space="preserve">of </w:t>
      </w:r>
      <w:r w:rsidR="002401DA" w:rsidRPr="002401DA">
        <w:t>557</w:t>
      </w:r>
      <w:r w:rsidR="00E26935" w:rsidRPr="002401DA">
        <w:t>%.</w:t>
      </w:r>
      <w:r w:rsidRPr="00F61B71">
        <w:t xml:space="preserve">  For a 1 in 15 year payout frequency the 1 in 100 year PML is estimated at </w:t>
      </w:r>
      <w:r w:rsidR="00DB7EC2">
        <w:t>42</w:t>
      </w:r>
      <w:r w:rsidRPr="00F61B71">
        <w:t xml:space="preserve">% of total liability or AR$ </w:t>
      </w:r>
      <w:r w:rsidR="00DB7EC2">
        <w:t>14</w:t>
      </w:r>
      <w:r w:rsidR="00DB7EC2" w:rsidRPr="00F61B71">
        <w:t xml:space="preserve">0 </w:t>
      </w:r>
      <w:r w:rsidRPr="00F61B71">
        <w:t xml:space="preserve">million. On account of the considerably lower premium for this option, however, the corresponding PML loss ratio would be barely the same at </w:t>
      </w:r>
      <w:r w:rsidR="002401DA">
        <w:t>684</w:t>
      </w:r>
      <w:r w:rsidR="00E26935" w:rsidRPr="002401DA">
        <w:t>%</w:t>
      </w:r>
      <w:r w:rsidRPr="002401DA">
        <w:t>.</w:t>
      </w:r>
    </w:p>
    <w:p w:rsidR="00B8697A" w:rsidRPr="00FE24C0" w:rsidRDefault="001A24FC" w:rsidP="00F61B71">
      <w:pPr>
        <w:pStyle w:val="HeadFiguresTablesBoxes"/>
        <w:spacing w:after="0"/>
      </w:pPr>
      <w:proofErr w:type="gramStart"/>
      <w:r w:rsidRPr="00FE24C0">
        <w:t>Table 6.3.</w:t>
      </w:r>
      <w:proofErr w:type="gramEnd"/>
      <w:r w:rsidRPr="00FE24C0">
        <w:t xml:space="preserve"> P</w:t>
      </w:r>
      <w:r w:rsidR="005435CF" w:rsidRPr="00FE24C0">
        <w:t>ooled Risk</w:t>
      </w:r>
      <w:r w:rsidRPr="00FE24C0">
        <w:t xml:space="preserve"> PML Estimates for Different Payout Frequencies</w:t>
      </w:r>
    </w:p>
    <w:p w:rsidR="00670E7C" w:rsidRPr="00FE24C0" w:rsidRDefault="00E2141D" w:rsidP="00F61B71">
      <w:r>
        <w:rPr>
          <w:noProof/>
          <w:lang w:val="es-AR" w:eastAsia="es-AR"/>
        </w:rPr>
        <w:drawing>
          <wp:inline distT="0" distB="0" distL="0" distR="0">
            <wp:extent cx="3979782" cy="3311070"/>
            <wp:effectExtent l="19050" t="0" r="1668" b="0"/>
            <wp:docPr id="1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3979782" cy="3311070"/>
                    </a:xfrm>
                    <a:prstGeom prst="rect">
                      <a:avLst/>
                    </a:prstGeom>
                    <a:noFill/>
                    <a:ln w="9525">
                      <a:noFill/>
                      <a:miter lim="800000"/>
                      <a:headEnd/>
                      <a:tailEnd/>
                    </a:ln>
                  </pic:spPr>
                </pic:pic>
              </a:graphicData>
            </a:graphic>
          </wp:inline>
        </w:drawing>
      </w:r>
      <w:r w:rsidR="00B73DF5" w:rsidRPr="00FE24C0">
        <w:br/>
      </w:r>
      <w:r w:rsidR="001A24FC" w:rsidRPr="00FE24C0">
        <w:t>Source: Authors’ based on NDVI Rating Model</w:t>
      </w:r>
    </w:p>
    <w:p w:rsidR="007A3BF9" w:rsidRPr="00FE24C0" w:rsidRDefault="007A3BF9" w:rsidP="007A3BF9">
      <w:pPr>
        <w:pStyle w:val="APDroughtPara"/>
        <w:numPr>
          <w:ilvl w:val="0"/>
          <w:numId w:val="0"/>
        </w:numPr>
        <w:outlineLvl w:val="9"/>
        <w:rPr>
          <w:b/>
          <w:szCs w:val="22"/>
          <w:u w:val="single"/>
        </w:rPr>
      </w:pPr>
      <w:r w:rsidRPr="00FE24C0">
        <w:rPr>
          <w:b/>
          <w:szCs w:val="22"/>
          <w:u w:val="single"/>
        </w:rPr>
        <w:lastRenderedPageBreak/>
        <w:t xml:space="preserve">Risk </w:t>
      </w:r>
      <w:r w:rsidR="00445B01" w:rsidRPr="00FE24C0">
        <w:rPr>
          <w:b/>
          <w:szCs w:val="22"/>
          <w:u w:val="single"/>
        </w:rPr>
        <w:t>Layerin</w:t>
      </w:r>
      <w:r w:rsidR="00CC3B62" w:rsidRPr="00FE24C0">
        <w:rPr>
          <w:b/>
          <w:szCs w:val="22"/>
          <w:u w:val="single"/>
        </w:rPr>
        <w:t xml:space="preserve">g </w:t>
      </w:r>
      <w:r w:rsidRPr="00FE24C0">
        <w:rPr>
          <w:b/>
          <w:szCs w:val="22"/>
          <w:u w:val="single"/>
        </w:rPr>
        <w:t>and Reinsurance</w:t>
      </w:r>
    </w:p>
    <w:p w:rsidR="000C6233" w:rsidRPr="00F61B71" w:rsidRDefault="004A04F6" w:rsidP="00F61B71">
      <w:pPr>
        <w:pStyle w:val="WBReport"/>
      </w:pPr>
      <w:r w:rsidRPr="00F61B71">
        <w:rPr>
          <w:b/>
          <w:i/>
        </w:rPr>
        <w:t xml:space="preserve">There are several options for </w:t>
      </w:r>
      <w:r w:rsidR="005A1EC8" w:rsidRPr="00F61B71">
        <w:rPr>
          <w:b/>
          <w:i/>
        </w:rPr>
        <w:t>t</w:t>
      </w:r>
      <w:r w:rsidRPr="00F61B71">
        <w:rPr>
          <w:b/>
          <w:i/>
        </w:rPr>
        <w:t xml:space="preserve">he Pool Coinsurers to consider for reinsuring the </w:t>
      </w:r>
      <w:r w:rsidR="00270642" w:rsidRPr="00F61B71">
        <w:rPr>
          <w:b/>
          <w:i/>
        </w:rPr>
        <w:t xml:space="preserve">pasture </w:t>
      </w:r>
      <w:r w:rsidRPr="00F61B71">
        <w:rPr>
          <w:b/>
          <w:i/>
        </w:rPr>
        <w:t>NDVI</w:t>
      </w:r>
      <w:r w:rsidR="00270642" w:rsidRPr="00F61B71">
        <w:rPr>
          <w:b/>
          <w:i/>
        </w:rPr>
        <w:t xml:space="preserve"> program</w:t>
      </w:r>
      <w:r w:rsidR="001A24FC" w:rsidRPr="00F61B71">
        <w:rPr>
          <w:b/>
          <w:i/>
        </w:rPr>
        <w:t>.</w:t>
      </w:r>
      <w:r w:rsidR="001A24FC" w:rsidRPr="00FE24C0">
        <w:rPr>
          <w:i/>
        </w:rPr>
        <w:t xml:space="preserve"> </w:t>
      </w:r>
      <w:r w:rsidR="001A24FC" w:rsidRPr="00F61B71">
        <w:t>The first option would be to purchase facultative proportional or quota share reinsurance under which the pool members would decide on the share of risk they could prudently retain, for example 20% of the risk which on a total sum insured basis would amount to AR$ 67 million, and to then seek to cede the remaining 80% of the risk (AR$ 268 million) to international reinsurers (Figure 6.1, Panel a.). The Pool may also decide to purchase facultative Excess of Loss Reinsurance (XOL) on its retention, for example for losses excess of 100% of Gross Net Premium Income (GNPI) (Figure 6.1, panel b.). The third option would be for the Pool to purchase a layered XOL Reinsurance program again for losses excess of say 100% of GNPI (Figure 6.1, panel c.). It is not possible to predict at this stage if international reinsurers would agree to provide unlimited liability to the Pool on any XOL program, or whether they would only provide cover up to an agreed limit beyond which liability would revert to the pool.</w:t>
      </w:r>
    </w:p>
    <w:p w:rsidR="00445B01" w:rsidRPr="00FE24C0" w:rsidRDefault="00B97FC7" w:rsidP="00EF4AC4">
      <w:pPr>
        <w:pStyle w:val="HeadFiguresTablesBoxes"/>
      </w:pPr>
      <w:proofErr w:type="gramStart"/>
      <w:r w:rsidRPr="00FE24C0">
        <w:t>Figure 6.</w:t>
      </w:r>
      <w:r w:rsidR="00CC3B62" w:rsidRPr="00FE24C0">
        <w:t>1</w:t>
      </w:r>
      <w:r w:rsidRPr="00FE24C0">
        <w:t>.</w:t>
      </w:r>
      <w:proofErr w:type="gramEnd"/>
      <w:r w:rsidR="00AE52D1" w:rsidRPr="00FE24C0">
        <w:t xml:space="preserve"> Examples of Proportional Quota Share and Non-Proportional Excess of Loss Reinsurance open to the Pool Insurers</w:t>
      </w:r>
    </w:p>
    <w:p w:rsidR="00EF2676" w:rsidRPr="00FE24C0" w:rsidRDefault="00EF2676" w:rsidP="00EF2676">
      <w:pPr>
        <w:pStyle w:val="APDroughtPara"/>
        <w:numPr>
          <w:ilvl w:val="0"/>
          <w:numId w:val="0"/>
        </w:numPr>
        <w:spacing w:after="120"/>
        <w:outlineLvl w:val="9"/>
        <w:rPr>
          <w:b/>
          <w:szCs w:val="22"/>
        </w:rPr>
      </w:pPr>
    </w:p>
    <w:p w:rsidR="00C23095" w:rsidRPr="00FE24C0" w:rsidRDefault="000C6233" w:rsidP="00EF2676">
      <w:pPr>
        <w:pStyle w:val="APDroughtPara"/>
        <w:numPr>
          <w:ilvl w:val="0"/>
          <w:numId w:val="0"/>
        </w:numPr>
        <w:spacing w:after="120"/>
        <w:outlineLvl w:val="9"/>
        <w:rPr>
          <w:b/>
          <w:szCs w:val="22"/>
        </w:rPr>
      </w:pPr>
      <w:r w:rsidRPr="00FE24C0">
        <w:rPr>
          <w:noProof/>
          <w:szCs w:val="22"/>
          <w:lang w:val="es-AR" w:eastAsia="es-AR"/>
        </w:rPr>
        <w:drawing>
          <wp:inline distT="0" distB="0" distL="0" distR="0">
            <wp:extent cx="5490210" cy="3442990"/>
            <wp:effectExtent l="19050" t="0" r="0" b="0"/>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490210" cy="3442990"/>
                    </a:xfrm>
                    <a:prstGeom prst="rect">
                      <a:avLst/>
                    </a:prstGeom>
                    <a:noFill/>
                    <a:ln w="9525">
                      <a:noFill/>
                      <a:miter lim="800000"/>
                      <a:headEnd/>
                      <a:tailEnd/>
                    </a:ln>
                  </pic:spPr>
                </pic:pic>
              </a:graphicData>
            </a:graphic>
          </wp:inline>
        </w:drawing>
      </w:r>
    </w:p>
    <w:p w:rsidR="004A04F6" w:rsidRPr="00FE24C0" w:rsidRDefault="00AE52D1" w:rsidP="000E35EC">
      <w:pPr>
        <w:pStyle w:val="Source"/>
      </w:pPr>
      <w:r w:rsidRPr="00FE24C0">
        <w:t>Source: Authors</w:t>
      </w:r>
    </w:p>
    <w:p w:rsidR="000C6233" w:rsidRPr="00F61B71" w:rsidRDefault="00CC3B62" w:rsidP="00F61B71">
      <w:pPr>
        <w:pStyle w:val="WBReport"/>
      </w:pPr>
      <w:r w:rsidRPr="00F61B71">
        <w:rPr>
          <w:b/>
          <w:i/>
        </w:rPr>
        <w:t>In many countries with public-private partnerships for agricultural insurance, government acts as a catastrophe reinsurer</w:t>
      </w:r>
      <w:r w:rsidR="001A24FC" w:rsidRPr="00FE24C0">
        <w:rPr>
          <w:i/>
        </w:rPr>
        <w:t xml:space="preserve"> </w:t>
      </w:r>
      <w:r w:rsidR="001A24FC" w:rsidRPr="00F61B71">
        <w:t>as illustrated in Figure 6.2. Major programs where governments actively participate in agricultural reinsurance financing include the USA and Canada, Spain, Portugal, India, China and in Latin America, Brazil and Mexico. In Argentina, there is a very competitive private-sector agricultural insurance market actively supported by local and international reinsurers. At this stage it is envisaged that 100% of the livestock-pasture NDVI Index reinsurance program would be passed on to local and international reinsurers and that Government of Argentina would not participate as a catastrophe reinsurer of last resort.</w:t>
      </w:r>
    </w:p>
    <w:p w:rsidR="00CC3B62" w:rsidRPr="00FE24C0" w:rsidRDefault="00CC3B62" w:rsidP="00EF4AC4">
      <w:pPr>
        <w:pStyle w:val="HeadFiguresTablesBoxes"/>
      </w:pPr>
      <w:proofErr w:type="gramStart"/>
      <w:r w:rsidRPr="00FE24C0">
        <w:lastRenderedPageBreak/>
        <w:t>Figure 6.2.</w:t>
      </w:r>
      <w:proofErr w:type="gramEnd"/>
      <w:r w:rsidRPr="00FE24C0">
        <w:t xml:space="preserve"> Example of Agricultural Risk Layering</w:t>
      </w:r>
    </w:p>
    <w:p w:rsidR="00CC3B62" w:rsidRPr="00FE24C0" w:rsidRDefault="00130500" w:rsidP="00CC3B62">
      <w:pPr>
        <w:pStyle w:val="APDroughtPara"/>
        <w:numPr>
          <w:ilvl w:val="0"/>
          <w:numId w:val="0"/>
        </w:numPr>
        <w:ind w:left="360"/>
        <w:outlineLvl w:val="9"/>
        <w:rPr>
          <w:szCs w:val="22"/>
        </w:rPr>
      </w:pPr>
      <w:r w:rsidRPr="00FE24C0">
        <w:rPr>
          <w:b/>
          <w:i/>
          <w:noProof/>
          <w:szCs w:val="22"/>
          <w:lang w:val="es-AR" w:eastAsia="es-AR"/>
        </w:rPr>
        <w:drawing>
          <wp:inline distT="0" distB="0" distL="0" distR="0">
            <wp:extent cx="4965700" cy="2147570"/>
            <wp:effectExtent l="0" t="0" r="0" b="0"/>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C3B62" w:rsidRPr="00FE24C0" w:rsidRDefault="00CC3B62" w:rsidP="000E35EC">
      <w:pPr>
        <w:pStyle w:val="Source"/>
        <w:rPr>
          <w:sz w:val="22"/>
          <w:szCs w:val="22"/>
        </w:rPr>
      </w:pPr>
      <w:r w:rsidRPr="00FE24C0">
        <w:rPr>
          <w:i/>
        </w:rPr>
        <w:t>Source:</w:t>
      </w:r>
      <w:r w:rsidRPr="00FE24C0">
        <w:t xml:space="preserve"> Mahul and Stutley 2010.</w:t>
      </w:r>
    </w:p>
    <w:p w:rsidR="000C6233" w:rsidRPr="00695F04" w:rsidRDefault="001B5D39" w:rsidP="00695F04">
      <w:pPr>
        <w:pStyle w:val="WBReport"/>
      </w:pPr>
      <w:r w:rsidRPr="00F61B71">
        <w:rPr>
          <w:b/>
          <w:i/>
        </w:rPr>
        <w:t>There will be a need to involve both local and international reinsurers at an early stage in the negotiations over the final cover design and rating and sums insured for this NDVI program</w:t>
      </w:r>
      <w:r w:rsidR="001A24FC" w:rsidRPr="00F61B71">
        <w:rPr>
          <w:b/>
          <w:i/>
        </w:rPr>
        <w:t>.</w:t>
      </w:r>
      <w:r w:rsidR="001A24FC" w:rsidRPr="00FE24C0">
        <w:rPr>
          <w:i/>
        </w:rPr>
        <w:t xml:space="preserve"> </w:t>
      </w:r>
      <w:r w:rsidR="001A24FC" w:rsidRPr="00F61B71">
        <w:t>The specialist international agricultural reinsurers are familiar with NDVI insurance and their support will be critical to the implementation of this new pasture NDVI program in SWBA. This report has presented a rating tool to derive pure loss cost rates and technical premium rates.  Furthermore indicative commercial premium rates are presented. However, it is stressed that final rating decisions will need to be made by the local insurers and their local and international reinsurers.</w:t>
      </w:r>
    </w:p>
    <w:p w:rsidR="000C6233" w:rsidRPr="00F61B71" w:rsidRDefault="007D767B" w:rsidP="00F61B71">
      <w:pPr>
        <w:pStyle w:val="WBReport"/>
      </w:pPr>
      <w:r w:rsidRPr="00F61B71">
        <w:rPr>
          <w:b/>
          <w:i/>
        </w:rPr>
        <w:t>The changes in Argentinean reinsurance legislation that came into effect in the 1</w:t>
      </w:r>
      <w:r w:rsidR="001A24FC" w:rsidRPr="00F61B71">
        <w:rPr>
          <w:b/>
          <w:i/>
        </w:rPr>
        <w:t>st</w:t>
      </w:r>
      <w:r w:rsidRPr="00F61B71">
        <w:rPr>
          <w:b/>
          <w:i/>
        </w:rPr>
        <w:t xml:space="preserve"> quarter 2012 may have important implications for the layering of the reinsurance program and for the balance of retention by local reinsurers and their international reinsurers.</w:t>
      </w:r>
      <w:r w:rsidRPr="00F61B71">
        <w:t xml:space="preserve"> </w:t>
      </w:r>
      <w:r w:rsidR="001A24FC" w:rsidRPr="00F61B71">
        <w:t xml:space="preserve">In 2011 SNN by Resolution No 35,615 amended the reinsurance regulatory framework for Argentina by requiring that any international reinsurer wishing to transact reinsurance business in the Argentinean market would in future need either to establish and capitalize a local reinsurance company in Argentina, or to qualify as an admitted reinsurer. The purpose of this legislation was to encourage the formation of a private reinsurance capability in Argentina and to retain a higher share of the market insurance premiums. This legislation came into effect in early 2012. The main implications going forward are that most reinsurance business will have to be transacted as a retrocession by a local reinsurer and this will add significantly to the costs of transacting international reinsurance </w:t>
      </w:r>
      <w:r w:rsidR="0037339F">
        <w:t>arrangements</w:t>
      </w:r>
      <w:r w:rsidR="001A24FC" w:rsidRPr="00F61B71">
        <w:t>. In the case of the SWBA pasture NDVI index program the need for international reinsurance capacity will be high and potentially the original premiums will need to be higher to reflect the increased costs of transacting retrocession reinsurance.</w:t>
      </w:r>
    </w:p>
    <w:p w:rsidR="000C6233" w:rsidRPr="00FE24C0" w:rsidRDefault="000C6233">
      <w:pPr>
        <w:pStyle w:val="Ttulo2"/>
        <w:spacing w:before="0" w:after="0"/>
        <w:rPr>
          <w:i/>
        </w:rPr>
      </w:pPr>
    </w:p>
    <w:p w:rsidR="00857987" w:rsidRPr="00FE24C0" w:rsidRDefault="00857987" w:rsidP="00857987">
      <w:pPr>
        <w:pStyle w:val="APDroughtPara"/>
        <w:numPr>
          <w:ilvl w:val="0"/>
          <w:numId w:val="0"/>
        </w:numPr>
        <w:outlineLvl w:val="9"/>
        <w:rPr>
          <w:szCs w:val="22"/>
        </w:rPr>
      </w:pPr>
      <w:r w:rsidRPr="00FE24C0">
        <w:rPr>
          <w:b/>
          <w:i/>
          <w:szCs w:val="22"/>
        </w:rPr>
        <w:br w:type="page"/>
      </w:r>
    </w:p>
    <w:p w:rsidR="000136B3" w:rsidRPr="00FE24C0" w:rsidRDefault="00CC3B62" w:rsidP="00D830D0">
      <w:pPr>
        <w:pStyle w:val="Ttulo1"/>
        <w:rPr>
          <w:rFonts w:cs="Times New Roman"/>
        </w:rPr>
      </w:pPr>
      <w:bookmarkStart w:id="48" w:name="_Toc332274331"/>
      <w:bookmarkStart w:id="49" w:name="_Toc345794282"/>
      <w:r w:rsidRPr="00FE24C0">
        <w:rPr>
          <w:rFonts w:cs="Times New Roman"/>
        </w:rPr>
        <w:lastRenderedPageBreak/>
        <w:t>Conclusions</w:t>
      </w:r>
      <w:r w:rsidR="00136D37" w:rsidRPr="00FE24C0">
        <w:rPr>
          <w:rFonts w:cs="Times New Roman"/>
        </w:rPr>
        <w:t>, Recommendations</w:t>
      </w:r>
      <w:r w:rsidR="00A33A0C" w:rsidRPr="00FE24C0">
        <w:rPr>
          <w:rFonts w:cs="Times New Roman"/>
        </w:rPr>
        <w:t xml:space="preserve"> </w:t>
      </w:r>
      <w:r w:rsidR="00783DB4" w:rsidRPr="00FE24C0">
        <w:rPr>
          <w:rFonts w:cs="Times New Roman"/>
        </w:rPr>
        <w:t>and</w:t>
      </w:r>
      <w:r w:rsidRPr="00FE24C0">
        <w:rPr>
          <w:rFonts w:cs="Times New Roman"/>
        </w:rPr>
        <w:t xml:space="preserve"> </w:t>
      </w:r>
      <w:r w:rsidR="00213625" w:rsidRPr="00FE24C0">
        <w:rPr>
          <w:rFonts w:cs="Times New Roman"/>
        </w:rPr>
        <w:t xml:space="preserve">Next Steps </w:t>
      </w:r>
      <w:r w:rsidR="004342BC" w:rsidRPr="00FE24C0">
        <w:rPr>
          <w:rFonts w:cs="Times New Roman"/>
        </w:rPr>
        <w:t>for</w:t>
      </w:r>
      <w:r w:rsidRPr="00FE24C0">
        <w:rPr>
          <w:rFonts w:cs="Times New Roman"/>
        </w:rPr>
        <w:t xml:space="preserve"> </w:t>
      </w:r>
      <w:r w:rsidR="00213625" w:rsidRPr="00FE24C0">
        <w:rPr>
          <w:rFonts w:cs="Times New Roman"/>
        </w:rPr>
        <w:t xml:space="preserve">Pasture </w:t>
      </w:r>
      <w:r w:rsidR="00662737" w:rsidRPr="00FE24C0">
        <w:rPr>
          <w:rFonts w:cs="Times New Roman"/>
        </w:rPr>
        <w:t xml:space="preserve">NDVI </w:t>
      </w:r>
      <w:r w:rsidR="00213625" w:rsidRPr="00FE24C0">
        <w:rPr>
          <w:rFonts w:cs="Times New Roman"/>
        </w:rPr>
        <w:t xml:space="preserve">Insurance </w:t>
      </w:r>
      <w:r w:rsidR="004342BC" w:rsidRPr="00FE24C0">
        <w:rPr>
          <w:rFonts w:cs="Times New Roman"/>
        </w:rPr>
        <w:t xml:space="preserve">Program </w:t>
      </w:r>
      <w:r w:rsidR="00662737" w:rsidRPr="00FE24C0">
        <w:rPr>
          <w:rFonts w:cs="Times New Roman"/>
        </w:rPr>
        <w:t>in SWBA</w:t>
      </w:r>
      <w:bookmarkEnd w:id="48"/>
      <w:bookmarkEnd w:id="49"/>
    </w:p>
    <w:p w:rsidR="000C6233" w:rsidRPr="00FE24C0" w:rsidRDefault="00EF2676">
      <w:pPr>
        <w:pStyle w:val="Ttulo2"/>
        <w:ind w:left="576" w:hanging="576"/>
        <w:rPr>
          <w:sz w:val="24"/>
        </w:rPr>
      </w:pPr>
      <w:r w:rsidRPr="00FE24C0">
        <w:rPr>
          <w:sz w:val="24"/>
        </w:rPr>
        <w:t xml:space="preserve">Next Steps - </w:t>
      </w:r>
      <w:r w:rsidR="00213625" w:rsidRPr="00FE24C0">
        <w:rPr>
          <w:sz w:val="24"/>
        </w:rPr>
        <w:t>Moving Ahead</w:t>
      </w:r>
    </w:p>
    <w:p w:rsidR="000C6233" w:rsidRPr="00FE24C0" w:rsidRDefault="001A24FC" w:rsidP="00F61B71">
      <w:pPr>
        <w:pStyle w:val="WBReport"/>
      </w:pPr>
      <w:r w:rsidRPr="00F61B71">
        <w:rPr>
          <w:b/>
          <w:i/>
        </w:rPr>
        <w:t>Decisions will need to be taken at an early stage by the Federal Government of Argentina or the Provincial Government of Buenos Aires whether they wish to purchase a macro-level NDVI pasture index insurance contract..</w:t>
      </w:r>
      <w:r w:rsidR="00A33A0C" w:rsidRPr="00FE24C0">
        <w:t xml:space="preserve"> </w:t>
      </w:r>
      <w:r w:rsidRPr="00F61B71">
        <w:t>This report has clearly indicated that because of the limitations on the satellite spatial resolution used by the World Bank for the design of this insurance program, the NDVI cover is not suited to individual farmer insurance and furthermore that the insurance companies are currently not willing to underwrite a voluntary individual farmer scheme. As such the proposed NDVI program is designed as an ex-ante financial contingency product for government to use to provide timely payouts to small and medium livestock (cattle) producers located in SWBA in years of extreme drought or other major events affecting natural pasture.</w:t>
      </w:r>
    </w:p>
    <w:p w:rsidR="000C6233" w:rsidRPr="00F61B71" w:rsidRDefault="00A33A0C" w:rsidP="00F61B71">
      <w:pPr>
        <w:pStyle w:val="WBReport"/>
      </w:pPr>
      <w:r w:rsidRPr="00F61B71">
        <w:rPr>
          <w:b/>
          <w:i/>
        </w:rPr>
        <w:t xml:space="preserve">The new Macro-level NDVI pasture insurance program should be seen as part of the Government’s natural disaster risk management strategy and will need to be carefully coordinated with the existing Federal and Provincial natural disaster and emergency relief (Emergencia Agropecuaria) </w:t>
      </w:r>
      <w:r w:rsidR="0053309A">
        <w:rPr>
          <w:b/>
          <w:i/>
        </w:rPr>
        <w:t>system</w:t>
      </w:r>
      <w:r w:rsidRPr="00F61B71">
        <w:rPr>
          <w:b/>
          <w:i/>
        </w:rPr>
        <w:t>.</w:t>
      </w:r>
      <w:r w:rsidR="001A24FC" w:rsidRPr="00FE24C0">
        <w:rPr>
          <w:b/>
        </w:rPr>
        <w:t xml:space="preserve"> </w:t>
      </w:r>
      <w:r w:rsidR="001A24FC" w:rsidRPr="00F61B71">
        <w:t xml:space="preserve">If government elects to introduce NDVI pasture cover for livestock (cattle) producers in SWBA, it will be necessary to decide on the future role of the Emergencia Agropecuaria </w:t>
      </w:r>
      <w:r w:rsidR="0053309A">
        <w:t>system</w:t>
      </w:r>
      <w:r w:rsidR="001A24FC" w:rsidRPr="00F61B71">
        <w:t xml:space="preserve"> in this region as it would not be logical to continue operating two natural disaster compensations programs with overlapping objectives. </w:t>
      </w:r>
      <w:r w:rsidR="00B20FEC">
        <w:t xml:space="preserve">However, if Government elects to purchase a top-layer catastrophe NDVI insurance protection only, it </w:t>
      </w:r>
      <w:r w:rsidR="0053309A">
        <w:t>could</w:t>
      </w:r>
      <w:r w:rsidR="00B20FEC">
        <w:t xml:space="preserve"> be </w:t>
      </w:r>
      <w:r w:rsidR="0053309A">
        <w:t xml:space="preserve">both </w:t>
      </w:r>
      <w:r w:rsidR="00B20FEC">
        <w:t xml:space="preserve">possible </w:t>
      </w:r>
      <w:r w:rsidR="0053309A">
        <w:t xml:space="preserve">and desirable </w:t>
      </w:r>
      <w:r w:rsidR="00B20FEC">
        <w:t xml:space="preserve">to structure </w:t>
      </w:r>
      <w:r w:rsidR="0053309A">
        <w:t>the two programs together, with the NDVI policy insuring catastrophe drough</w:t>
      </w:r>
      <w:r w:rsidR="002401DA">
        <w:t>t</w:t>
      </w:r>
      <w:r w:rsidR="0053309A">
        <w:t xml:space="preserve"> losses in pasture and the Emergencia Agropecuaria </w:t>
      </w:r>
      <w:r w:rsidR="00B20FEC">
        <w:t>continu</w:t>
      </w:r>
      <w:r w:rsidR="0053309A">
        <w:t>ing to compensate smaller frequency losses</w:t>
      </w:r>
      <w:r w:rsidR="00122124">
        <w:t xml:space="preserve"> in pasture, or any other type of risk that impacts on livestock production in SWBA, for example disease resulting in mortality of the cattle</w:t>
      </w:r>
      <w:r w:rsidR="0053309A">
        <w:t>.</w:t>
      </w:r>
      <w:r w:rsidR="00B20FEC">
        <w:t xml:space="preserve"> </w:t>
      </w:r>
      <w:r w:rsidR="001A24FC" w:rsidRPr="00F61B71">
        <w:t>In addition, the proposed macro-level NDVI program should be carefully coordinated with any future national voluntary or compulsory agricultural crop and livestock insurance programs that government may elect to introduce into Argentina (these possible programs were highlighted in Chapter 1).</w:t>
      </w:r>
    </w:p>
    <w:p w:rsidR="000C6233" w:rsidRPr="00FE24C0" w:rsidRDefault="001A24FC" w:rsidP="00F61B71">
      <w:pPr>
        <w:pStyle w:val="WBReport"/>
      </w:pPr>
      <w:r w:rsidRPr="00F61B71">
        <w:rPr>
          <w:b/>
          <w:i/>
        </w:rPr>
        <w:t xml:space="preserve">The implementation of a pilot NDVI program in selected departments of SWBA may be </w:t>
      </w:r>
      <w:r w:rsidR="0086617F" w:rsidRPr="00F61B71">
        <w:rPr>
          <w:b/>
          <w:i/>
        </w:rPr>
        <w:t>attractive to t</w:t>
      </w:r>
      <w:r w:rsidRPr="00F61B71">
        <w:rPr>
          <w:b/>
          <w:i/>
        </w:rPr>
        <w:t>he interested parties</w:t>
      </w:r>
      <w:r w:rsidR="0086617F" w:rsidRPr="00F61B71">
        <w:rPr>
          <w:b/>
          <w:i/>
        </w:rPr>
        <w:t xml:space="preserve"> in order to test and validate the product before moving to full scale implementation.</w:t>
      </w:r>
      <w:r w:rsidR="0086617F" w:rsidRPr="00FE24C0">
        <w:rPr>
          <w:i/>
        </w:rPr>
        <w:t xml:space="preserve"> </w:t>
      </w:r>
      <w:r w:rsidRPr="00F61B71">
        <w:t xml:space="preserve">On the basis of the sum insured and rating calculations presented in Chapter 5, a full-scale program for all 1.1 million insurable cows and heifers in the 12 Departments of SWBA would amount to a very significant new insurance program with TSI (liability) of AR$ 334.4 million (about US$ 74 million), and </w:t>
      </w:r>
      <w:r w:rsidR="00122124">
        <w:t xml:space="preserve">for a payout frequency of 1 in 10 years, and with a </w:t>
      </w:r>
      <w:r w:rsidRPr="00F61B71">
        <w:t xml:space="preserve">1 in 100 year estimated PML of AR$ </w:t>
      </w:r>
      <w:r w:rsidR="00A16D0A">
        <w:t>220</w:t>
      </w:r>
      <w:r w:rsidR="00A16D0A" w:rsidRPr="00F61B71">
        <w:t xml:space="preserve"> </w:t>
      </w:r>
      <w:r w:rsidRPr="00F61B71">
        <w:t xml:space="preserve">million (US$ </w:t>
      </w:r>
      <w:r w:rsidR="001E6580">
        <w:t>49</w:t>
      </w:r>
      <w:r w:rsidR="001E6580" w:rsidRPr="00F61B71">
        <w:t xml:space="preserve"> </w:t>
      </w:r>
      <w:r w:rsidRPr="00F61B71">
        <w:t xml:space="preserve">million) the capacity requirements from the pool insurers and local and international reinsurers would be very significant. Similarly the indicative commercial premium costs which would have to be borne by the Insured (Government under the proposed macro-level cover) would also be significant and in the order of AR$ 32 million (about US$ 7.2 million) for the 1 in 10 year payout frequency option (Table 7.1.). Given the major financial implications both in terms of the costs of commercial premiums and the insurance capacity requirements of this NDVI pasture insurance program, the key stakeholders may wish to consider starting with a pilot project in 1 or 2 departments and over a period of time expand the program to include all 12 departments in SWBA. Reference to Table 7.1 shows that if government elected to start the NDVI program in Villarino, the largest cattle </w:t>
      </w:r>
      <w:r w:rsidRPr="00F61B71">
        <w:lastRenderedPageBreak/>
        <w:t>breeding department in SWBA, the implied total capacity requirements would be much more manageable amounting to AR$ 55 million (US$ 12.3 million) sum insured basis and that the indicative costs of premiums to government would again be much lower at AR$ 4.7 (US$ 1.1 million). The program could be expanded over the next 3 to 5 years to include all 12 departments and this would also allow for changes and improvements to be built into the program over time as experience is gained.  However, it is important to note that i</w:t>
      </w:r>
      <w:r w:rsidR="00122124">
        <w:t>f</w:t>
      </w:r>
      <w:r w:rsidRPr="00F61B71">
        <w:t xml:space="preserve"> a step by step approach is adopted for the development of this NDVI program, neither the insurers </w:t>
      </w:r>
      <w:r w:rsidR="00122124">
        <w:t>n</w:t>
      </w:r>
      <w:r w:rsidRPr="00F61B71">
        <w:t>or their reinsurers would benefit from risk pooling.</w:t>
      </w:r>
    </w:p>
    <w:p w:rsidR="0004578F" w:rsidRPr="00FE24C0" w:rsidRDefault="00473837" w:rsidP="00EF4AC4">
      <w:pPr>
        <w:pStyle w:val="HeadFiguresTablesBoxes"/>
      </w:pPr>
      <w:proofErr w:type="gramStart"/>
      <w:r w:rsidRPr="00FE24C0">
        <w:t>Table 7.1.</w:t>
      </w:r>
      <w:proofErr w:type="gramEnd"/>
      <w:r w:rsidRPr="00FE24C0">
        <w:t xml:space="preserve"> </w:t>
      </w:r>
      <w:r w:rsidR="00547144" w:rsidRPr="00FE24C0">
        <w:t xml:space="preserve">SWBA NDVI Program: </w:t>
      </w:r>
      <w:r w:rsidRPr="00FE24C0">
        <w:t>Summary of Departmental</w:t>
      </w:r>
      <w:r w:rsidR="00547144" w:rsidRPr="00FE24C0">
        <w:t xml:space="preserve"> Sum Insured and </w:t>
      </w:r>
      <w:r w:rsidR="00937F0B" w:rsidRPr="00FE24C0">
        <w:t>Indicative</w:t>
      </w:r>
      <w:r w:rsidR="00547144" w:rsidRPr="00FE24C0">
        <w:t xml:space="preserve"> Commercial Premiums</w:t>
      </w:r>
      <w:r w:rsidRPr="00FE24C0">
        <w:t xml:space="preserve"> </w:t>
      </w:r>
    </w:p>
    <w:tbl>
      <w:tblPr>
        <w:tblW w:w="0" w:type="auto"/>
        <w:tblInd w:w="103" w:type="dxa"/>
        <w:tblLook w:val="04A0"/>
      </w:tblPr>
      <w:tblGrid>
        <w:gridCol w:w="2636"/>
        <w:gridCol w:w="2520"/>
        <w:gridCol w:w="1556"/>
        <w:gridCol w:w="2047"/>
      </w:tblGrid>
      <w:tr w:rsidR="006D084E" w:rsidRPr="00FE24C0" w:rsidTr="001777D9">
        <w:trPr>
          <w:trHeight w:val="567"/>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6D084E" w:rsidRPr="00B42C75" w:rsidRDefault="006D084E" w:rsidP="00122124">
            <w:pPr>
              <w:pStyle w:val="Source"/>
              <w:spacing w:after="0"/>
              <w:jc w:val="left"/>
              <w:rPr>
                <w:b/>
                <w:lang w:eastAsia="en-GB"/>
              </w:rPr>
            </w:pPr>
            <w:r w:rsidRPr="00B42C75">
              <w:rPr>
                <w:b/>
                <w:lang w:eastAsia="en-GB"/>
              </w:rPr>
              <w:t>Department</w:t>
            </w:r>
          </w:p>
          <w:p w:rsidR="006D084E" w:rsidRPr="00B42C75" w:rsidRDefault="006D084E" w:rsidP="00122124">
            <w:pPr>
              <w:pStyle w:val="Source"/>
              <w:spacing w:after="0"/>
              <w:jc w:val="left"/>
              <w:rPr>
                <w:b/>
                <w:lang w:eastAsia="en-GB"/>
              </w:rPr>
            </w:pPr>
            <w:r w:rsidRPr="00B42C75">
              <w:rPr>
                <w:b/>
                <w:lang w:eastAsia="en-GB"/>
              </w:rPr>
              <w:t> </w:t>
            </w:r>
          </w:p>
        </w:tc>
        <w:tc>
          <w:tcPr>
            <w:tcW w:w="0" w:type="auto"/>
            <w:vMerge w:val="restart"/>
            <w:tcBorders>
              <w:top w:val="single" w:sz="4" w:space="0" w:color="auto"/>
              <w:left w:val="nil"/>
              <w:right w:val="single" w:sz="4" w:space="0" w:color="auto"/>
            </w:tcBorders>
            <w:shd w:val="clear" w:color="auto" w:fill="auto"/>
            <w:vAlign w:val="center"/>
            <w:hideMark/>
          </w:tcPr>
          <w:p w:rsidR="006D084E" w:rsidRPr="00B42C75" w:rsidRDefault="006D084E" w:rsidP="00122124">
            <w:pPr>
              <w:pStyle w:val="Source"/>
              <w:spacing w:after="0"/>
              <w:jc w:val="left"/>
              <w:rPr>
                <w:b/>
                <w:lang w:eastAsia="en-GB"/>
              </w:rPr>
            </w:pPr>
            <w:r w:rsidRPr="00B42C75">
              <w:rPr>
                <w:b/>
                <w:lang w:eastAsia="en-GB"/>
              </w:rPr>
              <w:t>No Insured Cows and Heifers</w:t>
            </w:r>
          </w:p>
          <w:p w:rsidR="006D084E" w:rsidRPr="00B42C75" w:rsidRDefault="006D084E" w:rsidP="00122124">
            <w:pPr>
              <w:pStyle w:val="Source"/>
              <w:spacing w:after="0"/>
              <w:jc w:val="left"/>
              <w:rPr>
                <w:b/>
                <w:lang w:eastAsia="en-GB"/>
              </w:rPr>
            </w:pPr>
            <w:r w:rsidRPr="00B42C75">
              <w:rPr>
                <w:b/>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
                <w:bCs/>
                <w:color w:val="000000"/>
                <w:lang w:eastAsia="en-GB"/>
              </w:rPr>
            </w:pPr>
            <w:r w:rsidRPr="00FE24C0">
              <w:rPr>
                <w:rFonts w:eastAsia="Times New Roman"/>
                <w:b/>
                <w:bCs/>
                <w:color w:val="000000"/>
                <w:lang w:eastAsia="en-GB"/>
              </w:rPr>
              <w:t>Sum Insured [1]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
                <w:bCs/>
                <w:color w:val="000000"/>
                <w:lang w:eastAsia="en-GB"/>
              </w:rPr>
            </w:pPr>
            <w:r w:rsidRPr="00FE24C0">
              <w:rPr>
                <w:rFonts w:eastAsia="Times New Roman"/>
                <w:b/>
                <w:bCs/>
                <w:color w:val="000000"/>
                <w:lang w:eastAsia="en-GB"/>
              </w:rPr>
              <w:t>Technical Premium [2]</w:t>
            </w:r>
          </w:p>
        </w:tc>
      </w:tr>
      <w:tr w:rsidR="006D084E" w:rsidRPr="00FE24C0" w:rsidTr="001777D9">
        <w:trPr>
          <w:trHeight w:val="567"/>
        </w:trPr>
        <w:tc>
          <w:tcPr>
            <w:tcW w:w="0" w:type="auto"/>
            <w:vMerge/>
            <w:tcBorders>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p>
        </w:tc>
        <w:tc>
          <w:tcPr>
            <w:tcW w:w="0" w:type="auto"/>
            <w:vMerge/>
            <w:tcBorders>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
                <w:bCs/>
                <w:color w:val="000000"/>
                <w:lang w:eastAsia="en-GB"/>
              </w:rPr>
            </w:pPr>
            <w:r w:rsidRPr="00FE24C0">
              <w:rPr>
                <w:rFonts w:eastAsia="Times New Roman"/>
                <w:b/>
                <w:bCs/>
                <w:color w:val="000000"/>
                <w:lang w:eastAsia="en-GB"/>
              </w:rPr>
              <w:t>(AR$)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
                <w:bCs/>
                <w:color w:val="000000"/>
                <w:lang w:eastAsia="en-GB"/>
              </w:rPr>
            </w:pPr>
            <w:r w:rsidRPr="00FE24C0">
              <w:rPr>
                <w:rFonts w:eastAsia="Times New Roman"/>
                <w:b/>
                <w:bCs/>
                <w:color w:val="000000"/>
                <w:lang w:eastAsia="en-GB"/>
              </w:rPr>
              <w:t>(AR$)</w:t>
            </w:r>
          </w:p>
        </w:tc>
      </w:tr>
      <w:tr w:rsidR="006D084E" w:rsidRPr="00FE24C0" w:rsidTr="00B42C75">
        <w:trPr>
          <w:trHeight w:val="33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Adolfo Alsina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97,169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30,524,274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3,117,771</w:t>
            </w:r>
          </w:p>
        </w:tc>
      </w:tr>
      <w:tr w:rsidR="006D084E" w:rsidRPr="00FE24C0" w:rsidTr="00B42C75">
        <w:trPr>
          <w:trHeight w:val="4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Bahía Blanca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37,410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11,509,123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942,835</w:t>
            </w:r>
          </w:p>
        </w:tc>
      </w:tr>
      <w:tr w:rsidR="006D084E" w:rsidRPr="00FE24C0" w:rsidTr="00B42C75">
        <w:trPr>
          <w:trHeight w:val="3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Cnel. Suarez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99,495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31,560,744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2,375,801</w:t>
            </w:r>
          </w:p>
        </w:tc>
      </w:tr>
      <w:tr w:rsidR="006D084E" w:rsidRPr="00FE24C0" w:rsidTr="00B42C75">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Dorrego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62,254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19,770,087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1,440,522</w:t>
            </w:r>
          </w:p>
        </w:tc>
      </w:tr>
      <w:tr w:rsidR="006D084E" w:rsidRPr="00FE24C0" w:rsidTr="00B42C75">
        <w:trPr>
          <w:trHeight w:val="44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Guaminí</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64,466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20,288,838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1,276,176</w:t>
            </w:r>
          </w:p>
        </w:tc>
      </w:tr>
      <w:tr w:rsidR="006D084E" w:rsidRPr="00FE24C0" w:rsidTr="00B42C75">
        <w:trPr>
          <w:trHeight w:val="4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Patagones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96,414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30,440,048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2,785,562</w:t>
            </w:r>
          </w:p>
        </w:tc>
      </w:tr>
      <w:tr w:rsidR="006D084E" w:rsidRPr="00FE24C0" w:rsidTr="00B42C75">
        <w:trPr>
          <w:trHeight w:val="42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Pringles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138,654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44,163,666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3,211,442</w:t>
            </w:r>
          </w:p>
        </w:tc>
      </w:tr>
      <w:tr w:rsidR="006D084E" w:rsidRPr="00FE24C0" w:rsidTr="00B42C75">
        <w:trPr>
          <w:trHeight w:val="4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Puan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112,541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35,551,651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3,081,582</w:t>
            </w:r>
          </w:p>
        </w:tc>
      </w:tr>
      <w:tr w:rsidR="006D084E" w:rsidRPr="00FE24C0" w:rsidTr="00B42C75">
        <w:trPr>
          <w:trHeight w:val="4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Rosales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16,830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5,414,330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468,142</w:t>
            </w:r>
          </w:p>
        </w:tc>
      </w:tr>
      <w:tr w:rsidR="006D084E" w:rsidRPr="00FE24C0" w:rsidTr="00B42C75">
        <w:trPr>
          <w:trHeight w:val="42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Saavedra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71,523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22,847,757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1,586,319</w:t>
            </w:r>
          </w:p>
        </w:tc>
      </w:tr>
      <w:tr w:rsidR="006D084E" w:rsidRPr="00FE24C0" w:rsidTr="00B42C75">
        <w:trPr>
          <w:trHeight w:val="41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Tornquist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87,067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27,068,053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1,860,128</w:t>
            </w:r>
          </w:p>
        </w:tc>
      </w:tr>
      <w:tr w:rsidR="006D084E" w:rsidRPr="00FE24C0" w:rsidTr="00B42C75">
        <w:trPr>
          <w:trHeight w:val="41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Villarino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174,884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55,276,275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4,729,336</w:t>
            </w:r>
          </w:p>
        </w:tc>
      </w:tr>
      <w:tr w:rsidR="006D084E" w:rsidRPr="00FE24C0" w:rsidTr="00B42C75">
        <w:trPr>
          <w:trHeight w:val="41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Total SWBA[3]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1,058,707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334,414,846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rFonts w:eastAsia="Times New Roman"/>
                <w:bCs/>
                <w:color w:val="000000"/>
                <w:lang w:eastAsia="en-GB"/>
              </w:rPr>
            </w:pPr>
            <w:r w:rsidRPr="00FE24C0">
              <w:rPr>
                <w:rFonts w:eastAsia="Times New Roman"/>
                <w:bCs/>
                <w:color w:val="000000"/>
                <w:lang w:eastAsia="en-GB"/>
              </w:rPr>
              <w:t>25,834,025</w:t>
            </w:r>
          </w:p>
        </w:tc>
      </w:tr>
      <w:tr w:rsidR="006D084E" w:rsidRPr="00FE24C0" w:rsidTr="001777D9">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jc w:val="left"/>
              <w:rPr>
                <w:lang w:eastAsia="en-GB"/>
              </w:rPr>
            </w:pPr>
            <w:r w:rsidRPr="00FE24C0">
              <w:rPr>
                <w:lang w:eastAsia="en-GB"/>
              </w:rPr>
              <w:t>Indicative Commercial Premium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084E" w:rsidRPr="00FE24C0" w:rsidRDefault="006D084E" w:rsidP="00122124">
            <w:pPr>
              <w:pStyle w:val="Source"/>
              <w:spacing w:after="0"/>
              <w:rPr>
                <w:lang w:eastAsia="en-GB"/>
              </w:rPr>
            </w:pPr>
            <w:r w:rsidRPr="00FE24C0">
              <w:rPr>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D084E" w:rsidRPr="00FE24C0" w:rsidRDefault="006D084E" w:rsidP="00122124">
            <w:pPr>
              <w:pStyle w:val="Source"/>
              <w:spacing w:after="0"/>
              <w:rPr>
                <w:rFonts w:eastAsia="Times New Roman"/>
                <w:b/>
                <w:bCs/>
                <w:color w:val="000000"/>
                <w:lang w:eastAsia="en-GB"/>
              </w:rPr>
            </w:pPr>
            <w:r w:rsidRPr="00FE24C0">
              <w:rPr>
                <w:rFonts w:eastAsia="Times New Roman"/>
                <w:b/>
                <w:bCs/>
                <w:color w:val="00000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D084E" w:rsidRPr="00FE24C0" w:rsidRDefault="006D084E" w:rsidP="00122124">
            <w:pPr>
              <w:pStyle w:val="Source"/>
              <w:spacing w:after="0"/>
              <w:jc w:val="left"/>
              <w:rPr>
                <w:rFonts w:eastAsia="Times New Roman"/>
                <w:b/>
                <w:bCs/>
                <w:color w:val="000000"/>
                <w:lang w:eastAsia="en-GB"/>
              </w:rPr>
            </w:pPr>
            <w:r w:rsidRPr="00FE24C0">
              <w:rPr>
                <w:rFonts w:eastAsia="Times New Roman"/>
                <w:b/>
                <w:bCs/>
                <w:color w:val="000000"/>
                <w:lang w:eastAsia="en-GB"/>
              </w:rPr>
              <w:t>32,292,531</w:t>
            </w:r>
          </w:p>
        </w:tc>
      </w:tr>
    </w:tbl>
    <w:p w:rsidR="007A7323" w:rsidRPr="00FE24C0" w:rsidRDefault="0004578F">
      <w:pPr>
        <w:pStyle w:val="Source"/>
        <w:spacing w:after="0"/>
        <w:jc w:val="left"/>
      </w:pPr>
      <w:r w:rsidRPr="00FE24C0">
        <w:t>Source: Authors’ analysis</w:t>
      </w:r>
      <w:r w:rsidR="000E35EC" w:rsidRPr="00FE24C0">
        <w:br/>
      </w:r>
      <w:r w:rsidRPr="00FE24C0">
        <w:t>Notes</w:t>
      </w:r>
      <w:proofErr w:type="gramStart"/>
      <w:r w:rsidRPr="00FE24C0">
        <w:t>:</w:t>
      </w:r>
      <w:proofErr w:type="gramEnd"/>
      <w:r w:rsidR="000E35EC" w:rsidRPr="00FE24C0">
        <w:br/>
      </w:r>
      <w:r w:rsidRPr="00FE24C0">
        <w:t xml:space="preserve">[1] Sum Insured assuming full 6-month cover period and </w:t>
      </w:r>
      <w:r w:rsidR="00B716EC" w:rsidRPr="00FE24C0">
        <w:t>that insurance covers 50% of the nutritional requirements/costs of each cow and heifer</w:t>
      </w:r>
      <w:r w:rsidR="000E35EC" w:rsidRPr="00FE24C0">
        <w:br/>
      </w:r>
      <w:r w:rsidR="00B716EC" w:rsidRPr="00FE24C0">
        <w:t xml:space="preserve">[2] Indicative commercial premium rates for 1 in 10 year </w:t>
      </w:r>
      <w:r w:rsidR="00937F0B" w:rsidRPr="00FE24C0">
        <w:t>payout</w:t>
      </w:r>
      <w:r w:rsidR="00B716EC" w:rsidRPr="00FE24C0">
        <w:t xml:space="preserve"> frequency any one month and 25% loading applied to calculated technical premium rates</w:t>
      </w:r>
      <w:r w:rsidR="009F5914" w:rsidRPr="00FE24C0">
        <w:t xml:space="preserve"> and reduced technical loading for pooled risk (figures taken from Table 5.17)</w:t>
      </w:r>
      <w:r w:rsidR="00B716EC" w:rsidRPr="00FE24C0">
        <w:t>.</w:t>
      </w:r>
    </w:p>
    <w:p w:rsidR="007A7323" w:rsidRDefault="00066FBF">
      <w:pPr>
        <w:pStyle w:val="WB"/>
        <w:numPr>
          <w:ilvl w:val="0"/>
          <w:numId w:val="0"/>
        </w:numPr>
        <w:rPr>
          <w:sz w:val="20"/>
          <w:lang w:eastAsia="ja-JP"/>
        </w:rPr>
      </w:pPr>
      <w:r w:rsidRPr="00FE24C0">
        <w:rPr>
          <w:sz w:val="20"/>
          <w:lang w:eastAsia="ja-JP"/>
        </w:rPr>
        <w:t>[3] The total SWBA technical premium benefit</w:t>
      </w:r>
      <w:r w:rsidR="006D084E">
        <w:rPr>
          <w:sz w:val="20"/>
          <w:lang w:eastAsia="ja-JP"/>
        </w:rPr>
        <w:t>s</w:t>
      </w:r>
      <w:r w:rsidRPr="00FE24C0">
        <w:rPr>
          <w:sz w:val="20"/>
          <w:lang w:eastAsia="ja-JP"/>
        </w:rPr>
        <w:t xml:space="preserve"> from the effects of risk pooling and </w:t>
      </w:r>
      <w:proofErr w:type="gramStart"/>
      <w:r w:rsidR="006D084E">
        <w:rPr>
          <w:sz w:val="20"/>
          <w:lang w:eastAsia="ja-JP"/>
        </w:rPr>
        <w:t xml:space="preserve">is </w:t>
      </w:r>
      <w:r w:rsidRPr="00FE24C0">
        <w:rPr>
          <w:sz w:val="20"/>
          <w:lang w:eastAsia="ja-JP"/>
        </w:rPr>
        <w:t xml:space="preserve"> therefore</w:t>
      </w:r>
      <w:proofErr w:type="gramEnd"/>
      <w:r w:rsidRPr="00FE24C0">
        <w:rPr>
          <w:sz w:val="20"/>
          <w:lang w:eastAsia="ja-JP"/>
        </w:rPr>
        <w:t xml:space="preserve"> lower than the sum of the 12 individual departments.</w:t>
      </w:r>
    </w:p>
    <w:p w:rsidR="00B42C75" w:rsidRPr="00FE24C0" w:rsidRDefault="00B42C75">
      <w:pPr>
        <w:pStyle w:val="WB"/>
        <w:numPr>
          <w:ilvl w:val="0"/>
          <w:numId w:val="0"/>
        </w:numPr>
      </w:pPr>
    </w:p>
    <w:p w:rsidR="000C6233" w:rsidRPr="00FE24C0" w:rsidRDefault="00251EEF" w:rsidP="00F61B71">
      <w:pPr>
        <w:pStyle w:val="WBReport"/>
        <w:rPr>
          <w:i/>
        </w:rPr>
      </w:pPr>
      <w:r w:rsidRPr="00F61B71">
        <w:rPr>
          <w:b/>
          <w:i/>
        </w:rPr>
        <w:lastRenderedPageBreak/>
        <w:t>At the outset, t</w:t>
      </w:r>
      <w:r w:rsidR="0073195E" w:rsidRPr="00F61B71">
        <w:rPr>
          <w:b/>
          <w:i/>
        </w:rPr>
        <w:t>he insurance companies will need to decide h</w:t>
      </w:r>
      <w:r w:rsidRPr="00F61B71">
        <w:rPr>
          <w:b/>
          <w:i/>
        </w:rPr>
        <w:t xml:space="preserve">ow they wish to underwrite the NDVI </w:t>
      </w:r>
      <w:r w:rsidR="0073195E" w:rsidRPr="00F61B71">
        <w:rPr>
          <w:b/>
          <w:i/>
        </w:rPr>
        <w:t xml:space="preserve">program and the option of forming a coinsurance pool </w:t>
      </w:r>
      <w:r w:rsidR="004342BC" w:rsidRPr="00F61B71">
        <w:rPr>
          <w:b/>
          <w:i/>
        </w:rPr>
        <w:t xml:space="preserve">has been identified as </w:t>
      </w:r>
      <w:r w:rsidRPr="00F61B71">
        <w:rPr>
          <w:b/>
          <w:i/>
        </w:rPr>
        <w:t xml:space="preserve">one </w:t>
      </w:r>
      <w:r w:rsidR="00AF1CF2" w:rsidRPr="00F61B71">
        <w:rPr>
          <w:b/>
          <w:i/>
        </w:rPr>
        <w:t>strategy to follow</w:t>
      </w:r>
      <w:r w:rsidR="004342BC" w:rsidRPr="00F61B71">
        <w:rPr>
          <w:b/>
          <w:i/>
        </w:rPr>
        <w:t>.</w:t>
      </w:r>
      <w:r w:rsidR="004342BC" w:rsidRPr="00FE24C0">
        <w:rPr>
          <w:i/>
        </w:rPr>
        <w:t xml:space="preserve"> </w:t>
      </w:r>
      <w:r w:rsidR="001A24FC" w:rsidRPr="00FE24C0">
        <w:t>Decisions will again have to be made by government at an early stage whether it intends to insure this program through the national insurance company Nación Seguros or to offer the program to the private commercial insurance companies of which 5 leading companies have supported this initiative over the past four years.</w:t>
      </w:r>
    </w:p>
    <w:p w:rsidR="000C6233" w:rsidRPr="00F61B71" w:rsidRDefault="00136D37" w:rsidP="00F61B71">
      <w:pPr>
        <w:pStyle w:val="WBReport"/>
      </w:pPr>
      <w:r w:rsidRPr="00F61B71">
        <w:rPr>
          <w:b/>
          <w:i/>
        </w:rPr>
        <w:t xml:space="preserve">From a technical viewpoint it is recommended that the Pool Insurers </w:t>
      </w:r>
      <w:r w:rsidR="00504B64" w:rsidRPr="00F61B71">
        <w:rPr>
          <w:b/>
          <w:i/>
        </w:rPr>
        <w:t xml:space="preserve">contract a Remote Sensing Specialist </w:t>
      </w:r>
      <w:r w:rsidRPr="00F61B71">
        <w:rPr>
          <w:b/>
          <w:i/>
        </w:rPr>
        <w:t>to update the SWBA NDVI Data-base from 2009 to 2012.</w:t>
      </w:r>
      <w:r w:rsidRPr="00FE24C0">
        <w:rPr>
          <w:i/>
        </w:rPr>
        <w:t xml:space="preserve"> </w:t>
      </w:r>
      <w:r w:rsidR="001A24FC" w:rsidRPr="00F61B71">
        <w:t>The original study was conducted by LART-FAUBA for ORA-MAGyP in 2010 using NDVI remote sensing data for the period 1982 to 2009. This database was made available to the World Bank under the current pasture NDVI Insurance Feasibility Study. If the NDVI Pilot project is approved, it is recommended that the Pool Insurers contract a local specialist to update the NDVI data-base to include the most recent years 2010 to 2012. Following this the World Bank NDVI-Rating Model will need to be updated to include the past three years NDVI data and the pure rates and technical rates recalculated.</w:t>
      </w:r>
    </w:p>
    <w:p w:rsidR="000C6233" w:rsidRPr="00F61B71" w:rsidRDefault="0053309A" w:rsidP="00F61B71">
      <w:pPr>
        <w:pStyle w:val="WBReport"/>
      </w:pPr>
      <w:r w:rsidRPr="00FE24C0">
        <w:rPr>
          <w:b/>
          <w:i/>
          <w:szCs w:val="22"/>
        </w:rPr>
        <w:t xml:space="preserve">The insurance companies will </w:t>
      </w:r>
      <w:r>
        <w:rPr>
          <w:b/>
          <w:i/>
          <w:szCs w:val="22"/>
        </w:rPr>
        <w:t xml:space="preserve">now </w:t>
      </w:r>
      <w:r w:rsidRPr="00FE24C0">
        <w:rPr>
          <w:b/>
          <w:i/>
          <w:szCs w:val="22"/>
        </w:rPr>
        <w:t xml:space="preserve">need to obtain </w:t>
      </w:r>
      <w:r>
        <w:rPr>
          <w:b/>
          <w:i/>
          <w:szCs w:val="22"/>
        </w:rPr>
        <w:t xml:space="preserve">formal </w:t>
      </w:r>
      <w:r w:rsidRPr="00FE24C0">
        <w:rPr>
          <w:b/>
          <w:i/>
          <w:szCs w:val="22"/>
        </w:rPr>
        <w:t>approval from the SNN to implement the new NDVI product / program.</w:t>
      </w:r>
      <w:r w:rsidRPr="00EB3585">
        <w:rPr>
          <w:b/>
          <w:szCs w:val="22"/>
        </w:rPr>
        <w:t xml:space="preserve"> </w:t>
      </w:r>
      <w:r>
        <w:rPr>
          <w:szCs w:val="22"/>
        </w:rPr>
        <w:t>Throughout the conduct of this feasibility study the World Bank team has regularly briefed the SNN on the technical design characteristics and rating model for the propsed index-based Pasture NDVI insurance program for livestock producers in SWBA. The SNN has been very supportive of the NDVI feasibility study. Now that the feasibility study has been completed and the NDVI Rating Manual and NDVI Rating Tools have been finalised, the insurance companies are now in a position to prepare their Technical Note and formally to submit these documents and rating tools to the SNN for formal approval.  Discussions are on-going with the SNN to verify whether the organization is interested in receiving specialist assistance or training under this GIIF funded project on legal and regulatory aspects of index insurance</w:t>
      </w:r>
      <w:r w:rsidR="00EB3585">
        <w:rPr>
          <w:szCs w:val="22"/>
        </w:rPr>
        <w:t>.</w:t>
      </w:r>
      <w:r>
        <w:t xml:space="preserve"> </w:t>
      </w:r>
    </w:p>
    <w:p w:rsidR="000C6233" w:rsidRPr="00F61B71" w:rsidRDefault="001B5D39" w:rsidP="00F61B71">
      <w:pPr>
        <w:pStyle w:val="WBReport"/>
      </w:pPr>
      <w:r w:rsidRPr="00F61B71">
        <w:rPr>
          <w:b/>
          <w:i/>
        </w:rPr>
        <w:t>It will be necessary to i</w:t>
      </w:r>
      <w:r w:rsidR="004342BC" w:rsidRPr="00F61B71">
        <w:rPr>
          <w:b/>
          <w:i/>
        </w:rPr>
        <w:t xml:space="preserve">nvolve </w:t>
      </w:r>
      <w:r w:rsidR="00A33A0C" w:rsidRPr="00F61B71">
        <w:rPr>
          <w:b/>
          <w:i/>
        </w:rPr>
        <w:t xml:space="preserve">both local and </w:t>
      </w:r>
      <w:r w:rsidR="004342BC" w:rsidRPr="00F61B71">
        <w:rPr>
          <w:b/>
          <w:i/>
        </w:rPr>
        <w:t xml:space="preserve">international reinsurers at an early stage in the negotiations over the </w:t>
      </w:r>
      <w:r w:rsidR="00AF1CF2" w:rsidRPr="00F61B71">
        <w:rPr>
          <w:b/>
          <w:i/>
        </w:rPr>
        <w:t xml:space="preserve">final cover </w:t>
      </w:r>
      <w:r w:rsidR="004342BC" w:rsidRPr="00F61B71">
        <w:rPr>
          <w:b/>
          <w:i/>
        </w:rPr>
        <w:t>design and rating and sums insured for this NDVI program</w:t>
      </w:r>
      <w:r w:rsidR="001A24FC" w:rsidRPr="00F61B71">
        <w:rPr>
          <w:b/>
          <w:i/>
        </w:rPr>
        <w:t>.</w:t>
      </w:r>
      <w:r w:rsidR="001A24FC" w:rsidRPr="00FE24C0">
        <w:rPr>
          <w:i/>
        </w:rPr>
        <w:t xml:space="preserve"> </w:t>
      </w:r>
      <w:r w:rsidR="001A24FC" w:rsidRPr="00F61B71">
        <w:t>The capacity requirements for this program are very large and inevitably the local insurers and reinsurers will need to seek the support of specialist international reinsurers of this class of agricultural index-based insurance. International reinsures will need to have access to the NDVI database, cover design and rating model in order to conduct their own analyses and to validate the threshold and exit triggers and payout scales, and to then validate the technical rates and to determine the final commercial premium rates they require to support this program.</w:t>
      </w:r>
    </w:p>
    <w:p w:rsidR="000C6233" w:rsidRPr="00F61B71" w:rsidRDefault="004342BC" w:rsidP="00F61B71">
      <w:pPr>
        <w:pStyle w:val="WBReport"/>
      </w:pPr>
      <w:r w:rsidRPr="00F61B71">
        <w:rPr>
          <w:b/>
          <w:i/>
        </w:rPr>
        <w:t xml:space="preserve">A third party NDVI Operator will also need to be identified and approved by all stakeholders </w:t>
      </w:r>
      <w:r w:rsidR="004850B5" w:rsidRPr="00F61B71">
        <w:rPr>
          <w:b/>
          <w:i/>
        </w:rPr>
        <w:t>in the implementation planning phase</w:t>
      </w:r>
      <w:r w:rsidR="001A24FC" w:rsidRPr="00F61B71">
        <w:rPr>
          <w:b/>
          <w:i/>
        </w:rPr>
        <w:t>.</w:t>
      </w:r>
      <w:r w:rsidR="001A24FC" w:rsidRPr="00F61B71">
        <w:t xml:space="preserve"> It is essential that the third party operator is able to operate independently in monitoring the NDVI values for each pixel and Insured Unit during the Insurance Cover Period and for providing these data to the key stakeholders (including the Insured, the insurance companies and their reinsurers) on a regular monthly basis. Currently the World Bank has requested LART-FAUBA to draw up technical specifications for the requirements of such a third party NDVI operator for the insurance program in SWBA. </w:t>
      </w:r>
    </w:p>
    <w:p w:rsidR="000C6233" w:rsidRPr="00F61B71" w:rsidRDefault="00251EEF" w:rsidP="00F61B71">
      <w:pPr>
        <w:pStyle w:val="WBReport"/>
      </w:pPr>
      <w:r w:rsidRPr="00F61B71">
        <w:rPr>
          <w:b/>
          <w:i/>
        </w:rPr>
        <w:t>The most critical operational aspect of the proposed NDVI pasture index insurance program is to ensure that</w:t>
      </w:r>
      <w:r w:rsidR="002076F0" w:rsidRPr="00F61B71">
        <w:rPr>
          <w:b/>
          <w:i/>
        </w:rPr>
        <w:t>,</w:t>
      </w:r>
      <w:r w:rsidRPr="00F61B71">
        <w:rPr>
          <w:b/>
          <w:i/>
        </w:rPr>
        <w:t xml:space="preserve"> in the event of </w:t>
      </w:r>
      <w:r w:rsidR="004131A5" w:rsidRPr="00F61B71">
        <w:rPr>
          <w:b/>
          <w:i/>
        </w:rPr>
        <w:t xml:space="preserve">payments </w:t>
      </w:r>
      <w:r w:rsidRPr="00F61B71">
        <w:rPr>
          <w:b/>
          <w:i/>
        </w:rPr>
        <w:t>being triggered</w:t>
      </w:r>
      <w:r w:rsidR="002076F0" w:rsidRPr="00F61B71">
        <w:rPr>
          <w:b/>
          <w:i/>
        </w:rPr>
        <w:t>,</w:t>
      </w:r>
      <w:r w:rsidRPr="00F61B71">
        <w:rPr>
          <w:b/>
          <w:i/>
        </w:rPr>
        <w:t xml:space="preserve"> livestock producers in the </w:t>
      </w:r>
      <w:r w:rsidR="004131A5" w:rsidRPr="00F61B71">
        <w:rPr>
          <w:b/>
          <w:i/>
        </w:rPr>
        <w:t>a</w:t>
      </w:r>
      <w:r w:rsidRPr="00F61B71">
        <w:rPr>
          <w:b/>
          <w:i/>
        </w:rPr>
        <w:t xml:space="preserve">ffected Insured Units (Cuartel) </w:t>
      </w:r>
      <w:r w:rsidR="002076F0" w:rsidRPr="00F61B71">
        <w:rPr>
          <w:b/>
          <w:i/>
        </w:rPr>
        <w:t xml:space="preserve">will </w:t>
      </w:r>
      <w:r w:rsidRPr="00F61B71">
        <w:rPr>
          <w:b/>
          <w:i/>
        </w:rPr>
        <w:t>receive their indemnity payouts in a timely fashion</w:t>
      </w:r>
      <w:r w:rsidR="001A24FC" w:rsidRPr="00F61B71">
        <w:rPr>
          <w:b/>
          <w:i/>
        </w:rPr>
        <w:t>.</w:t>
      </w:r>
      <w:r w:rsidR="001A24FC" w:rsidRPr="00FE24C0">
        <w:rPr>
          <w:i/>
        </w:rPr>
        <w:t xml:space="preserve"> </w:t>
      </w:r>
      <w:r w:rsidR="001A24FC" w:rsidRPr="00F61B71">
        <w:t xml:space="preserve">This report has shown that SENASA can provide accurate information for each and every livestock producer on their cattle (cows and heifers) holdings by Cuartel and by Department in SWBA for </w:t>
      </w:r>
      <w:r w:rsidR="001A24FC" w:rsidRPr="00F61B71">
        <w:lastRenderedPageBreak/>
        <w:t>the purposes of registering these producers as the beneficiaries of the macro-level program and for the purposes of establishing the sums insured per beneficiary and by Cuartel and Department and in total. The key outstanding issue which the insurers will need to discuss with government and with the livestock associations is the mechanism(s) for distributing timely payments to cattle owners in the event the policy triggers in any month of the cover period in any Insured Unit. Ideally such payments would be effected by electronic transfer to individual beneficiary accounts.</w:t>
      </w:r>
    </w:p>
    <w:p w:rsidR="000C6233" w:rsidRPr="00FE24C0" w:rsidRDefault="004850B5" w:rsidP="00F61B71">
      <w:pPr>
        <w:pStyle w:val="WBReport"/>
        <w:rPr>
          <w:i/>
        </w:rPr>
      </w:pPr>
      <w:r w:rsidRPr="00F61B71">
        <w:rPr>
          <w:b/>
          <w:i/>
        </w:rPr>
        <w:t xml:space="preserve">Government </w:t>
      </w:r>
      <w:r w:rsidR="00251EEF" w:rsidRPr="00F61B71">
        <w:rPr>
          <w:b/>
          <w:i/>
        </w:rPr>
        <w:t xml:space="preserve">in conjunction with the Insurance Companies </w:t>
      </w:r>
      <w:r w:rsidRPr="00F61B71">
        <w:rPr>
          <w:b/>
          <w:i/>
        </w:rPr>
        <w:t>will need to decide on the level of livestock prod</w:t>
      </w:r>
      <w:r w:rsidR="00A33A0C" w:rsidRPr="00F61B71">
        <w:rPr>
          <w:b/>
          <w:i/>
        </w:rPr>
        <w:t>uc</w:t>
      </w:r>
      <w:r w:rsidRPr="00F61B71">
        <w:rPr>
          <w:b/>
          <w:i/>
        </w:rPr>
        <w:t>er awareness and promotion it wishes to provide in the start-up phase of the NDVI pasture index insurance program</w:t>
      </w:r>
      <w:r w:rsidR="00251EEF" w:rsidRPr="00F61B71">
        <w:rPr>
          <w:b/>
          <w:i/>
        </w:rPr>
        <w:t xml:space="preserve"> in SWBA</w:t>
      </w:r>
      <w:r w:rsidRPr="00F61B71">
        <w:rPr>
          <w:b/>
          <w:i/>
        </w:rPr>
        <w:t>.</w:t>
      </w:r>
      <w:r w:rsidRPr="00FE24C0">
        <w:rPr>
          <w:i/>
        </w:rPr>
        <w:t xml:space="preserve"> </w:t>
      </w:r>
      <w:r w:rsidR="001A24FC" w:rsidRPr="00F61B71">
        <w:t xml:space="preserve">Under the proposed automatic insurance program where government is responsible for paying premium, the most important training topics that will need to be addressed include explaining to livestock producers located in the insured Cuartels and </w:t>
      </w:r>
      <w:r w:rsidR="00122124">
        <w:t>D</w:t>
      </w:r>
      <w:r w:rsidR="001A24FC" w:rsidRPr="00F61B71">
        <w:t xml:space="preserve">epartments the basis of insurance and </w:t>
      </w:r>
      <w:r w:rsidR="00603926">
        <w:t xml:space="preserve">compensation </w:t>
      </w:r>
      <w:r w:rsidR="001A24FC" w:rsidRPr="00F61B71">
        <w:t>payouts of the NDVI pasture index product in order to ensure that they understand that the cover provided is not based on individual farmer’s own farms and pasture, but on the NDVI measure of pasture productivity at the Cuartel level. Equally the training should emphasize that cover is provided according to the estimated nutritional requirements of 2 insured classes of cattle, only cows and heifers, and that the amount of compensation per head of cattle is on a fixed amount basis, each month that the policy payouts are triggered, and does not cover the full estimated costs of providing supplementary feeds to cows and heifers during periods of severe drought when natural pasture and grazing resources are depleted.</w:t>
      </w:r>
      <w:r w:rsidR="001A24FC" w:rsidRPr="00FE24C0">
        <w:rPr>
          <w:b/>
        </w:rPr>
        <w:t xml:space="preserve">  </w:t>
      </w:r>
      <w:r w:rsidR="005A058B" w:rsidRPr="00FE24C0">
        <w:rPr>
          <w:i/>
        </w:rPr>
        <w:br w:type="page"/>
      </w:r>
    </w:p>
    <w:p w:rsidR="005A058B" w:rsidRPr="008A63B5" w:rsidRDefault="005A058B" w:rsidP="008A63B5">
      <w:pPr>
        <w:pStyle w:val="Ttulo1"/>
        <w:numPr>
          <w:ilvl w:val="0"/>
          <w:numId w:val="0"/>
        </w:numPr>
        <w:rPr>
          <w:rFonts w:cs="Times New Roman"/>
        </w:rPr>
      </w:pPr>
      <w:bookmarkStart w:id="50" w:name="_Toc345794283"/>
      <w:r w:rsidRPr="008A63B5">
        <w:rPr>
          <w:rFonts w:cs="Times New Roman"/>
        </w:rPr>
        <w:lastRenderedPageBreak/>
        <w:t>Bibliography</w:t>
      </w:r>
      <w:bookmarkEnd w:id="50"/>
    </w:p>
    <w:p w:rsidR="000C6233" w:rsidRPr="00FE24C0" w:rsidRDefault="00F575C2">
      <w:pPr>
        <w:pStyle w:val="APDroughtPara"/>
        <w:numPr>
          <w:ilvl w:val="0"/>
          <w:numId w:val="0"/>
        </w:numPr>
        <w:spacing w:after="120"/>
        <w:jc w:val="left"/>
        <w:outlineLvl w:val="9"/>
        <w:rPr>
          <w:szCs w:val="22"/>
        </w:rPr>
      </w:pPr>
      <w:proofErr w:type="gramStart"/>
      <w:r w:rsidRPr="00FE24C0">
        <w:rPr>
          <w:szCs w:val="22"/>
        </w:rPr>
        <w:t>AFSC 2010.</w:t>
      </w:r>
      <w:proofErr w:type="gramEnd"/>
      <w:r w:rsidRPr="00FE24C0">
        <w:rPr>
          <w:szCs w:val="22"/>
        </w:rPr>
        <w:t xml:space="preserve"> </w:t>
      </w:r>
      <w:proofErr w:type="gramStart"/>
      <w:r w:rsidRPr="00FE24C0">
        <w:rPr>
          <w:szCs w:val="22"/>
        </w:rPr>
        <w:t>Satellite Pasture Insurance in Alberta.</w:t>
      </w:r>
      <w:proofErr w:type="gramEnd"/>
      <w:r w:rsidRPr="00FE24C0">
        <w:rPr>
          <w:szCs w:val="22"/>
        </w:rPr>
        <w:t xml:space="preserve">  Paper presented at 2</w:t>
      </w:r>
      <w:r w:rsidRPr="00FE24C0">
        <w:rPr>
          <w:szCs w:val="22"/>
          <w:vertAlign w:val="superscript"/>
        </w:rPr>
        <w:t>nd</w:t>
      </w:r>
      <w:r w:rsidRPr="00FE24C0">
        <w:rPr>
          <w:szCs w:val="22"/>
        </w:rPr>
        <w:t xml:space="preserve"> Remote Sensing Index Based Crop Insurance Working Group, August 10-11, 2010, San Francisco, CA</w:t>
      </w:r>
    </w:p>
    <w:p w:rsidR="000C6233" w:rsidRPr="00FE24C0" w:rsidRDefault="00F575C2">
      <w:pPr>
        <w:pStyle w:val="APDroughtPara"/>
        <w:numPr>
          <w:ilvl w:val="0"/>
          <w:numId w:val="0"/>
        </w:numPr>
        <w:spacing w:after="120"/>
        <w:jc w:val="left"/>
        <w:outlineLvl w:val="9"/>
        <w:rPr>
          <w:szCs w:val="22"/>
        </w:rPr>
      </w:pPr>
      <w:proofErr w:type="gramStart"/>
      <w:r w:rsidRPr="00FE24C0">
        <w:rPr>
          <w:szCs w:val="22"/>
        </w:rPr>
        <w:t>AFSC 2012.</w:t>
      </w:r>
      <w:proofErr w:type="gramEnd"/>
      <w:r w:rsidRPr="00FE24C0">
        <w:rPr>
          <w:szCs w:val="22"/>
        </w:rPr>
        <w:t xml:space="preserve"> </w:t>
      </w:r>
      <w:proofErr w:type="gramStart"/>
      <w:r w:rsidRPr="00FE24C0">
        <w:rPr>
          <w:szCs w:val="22"/>
        </w:rPr>
        <w:t>Satellite Yield Insurance.</w:t>
      </w:r>
      <w:proofErr w:type="gramEnd"/>
      <w:r w:rsidRPr="00FE24C0">
        <w:rPr>
          <w:szCs w:val="22"/>
        </w:rPr>
        <w:t xml:space="preserve"> </w:t>
      </w:r>
      <w:r w:rsidR="00BB4B11" w:rsidRPr="00FE24C0">
        <w:rPr>
          <w:szCs w:val="22"/>
        </w:rPr>
        <w:t xml:space="preserve">[On line] Available from: </w:t>
      </w:r>
      <w:hyperlink r:id="rId48" w:history="1">
        <w:r w:rsidRPr="00FE24C0">
          <w:rPr>
            <w:rStyle w:val="Hipervnculo"/>
            <w:szCs w:val="22"/>
          </w:rPr>
          <w:t>www.afsc.ca/doc.aspx?id=5335</w:t>
        </w:r>
      </w:hyperlink>
    </w:p>
    <w:p w:rsidR="000C6233" w:rsidRPr="00FE24C0" w:rsidRDefault="00F0345D">
      <w:pPr>
        <w:pStyle w:val="APDroughtPara"/>
        <w:numPr>
          <w:ilvl w:val="0"/>
          <w:numId w:val="0"/>
        </w:numPr>
        <w:spacing w:after="120"/>
        <w:jc w:val="left"/>
        <w:outlineLvl w:val="9"/>
        <w:rPr>
          <w:szCs w:val="22"/>
        </w:rPr>
      </w:pPr>
      <w:proofErr w:type="gramStart"/>
      <w:r w:rsidRPr="00F0345D">
        <w:rPr>
          <w:szCs w:val="22"/>
        </w:rPr>
        <w:t>Andrade, M.; Laporta, P.; and Iezzi, L. 2009.</w:t>
      </w:r>
      <w:proofErr w:type="gramEnd"/>
      <w:r w:rsidRPr="00F0345D">
        <w:rPr>
          <w:szCs w:val="22"/>
        </w:rPr>
        <w:t xml:space="preserve"> </w:t>
      </w:r>
      <w:r w:rsidR="009E4ACC" w:rsidRPr="00FE24C0">
        <w:rPr>
          <w:szCs w:val="22"/>
          <w:lang w:val="es-NI"/>
        </w:rPr>
        <w:t>“Sequías en el Sudoeste Bonaerense: Vulnerabilidad e Incertidumbre”</w:t>
      </w:r>
      <w:r w:rsidR="005C0DE4" w:rsidRPr="00FE24C0">
        <w:rPr>
          <w:szCs w:val="22"/>
          <w:lang w:val="es-NI"/>
        </w:rPr>
        <w:t xml:space="preserve">, </w:t>
      </w:r>
      <w:r w:rsidR="005C0DE4" w:rsidRPr="00FE24C0">
        <w:rPr>
          <w:i/>
          <w:szCs w:val="22"/>
          <w:lang w:val="es-NI"/>
        </w:rPr>
        <w:t>Geograficando 5(5), pp. 213-233</w:t>
      </w:r>
      <w:r w:rsidR="005C0DE4" w:rsidRPr="00FE24C0">
        <w:rPr>
          <w:szCs w:val="22"/>
          <w:lang w:val="es-NI"/>
        </w:rPr>
        <w:t xml:space="preserve">. </w:t>
      </w:r>
      <w:r w:rsidR="005C0DE4" w:rsidRPr="00FE24C0">
        <w:rPr>
          <w:szCs w:val="22"/>
        </w:rPr>
        <w:t>[</w:t>
      </w:r>
      <w:r w:rsidR="009E4ACC" w:rsidRPr="00FE24C0">
        <w:rPr>
          <w:szCs w:val="22"/>
        </w:rPr>
        <w:t>On line</w:t>
      </w:r>
      <w:r w:rsidR="005C0DE4" w:rsidRPr="00FE24C0">
        <w:rPr>
          <w:szCs w:val="22"/>
        </w:rPr>
        <w:t xml:space="preserve">] </w:t>
      </w:r>
      <w:r w:rsidR="009E4ACC" w:rsidRPr="00FE24C0">
        <w:rPr>
          <w:szCs w:val="22"/>
        </w:rPr>
        <w:t xml:space="preserve">Available from: </w:t>
      </w:r>
      <w:hyperlink r:id="rId49" w:history="1">
        <w:r w:rsidR="005C0DE4" w:rsidRPr="00FE24C0">
          <w:rPr>
            <w:rStyle w:val="Hipervnculo"/>
            <w:szCs w:val="22"/>
          </w:rPr>
          <w:t>http://www.memoria.fahce.unlp.edu.ar/art_revistas/pr.4450/pr.4450.pdf</w:t>
        </w:r>
      </w:hyperlink>
      <w:r w:rsidR="005C0DE4" w:rsidRPr="00FE24C0">
        <w:rPr>
          <w:szCs w:val="22"/>
        </w:rPr>
        <w:t xml:space="preserve"> [Accessed: 27 September 2012]</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Agroasemex 2006. La experiencia Mexicana en el Desarollo y Operacion de Seguros Paramétricos </w:t>
      </w:r>
      <w:r w:rsidR="00455E50" w:rsidRPr="00FE24C0">
        <w:rPr>
          <w:szCs w:val="22"/>
          <w:lang w:val="es-NI"/>
        </w:rPr>
        <w:t>Orientados</w:t>
      </w:r>
      <w:r w:rsidRPr="00FE24C0">
        <w:rPr>
          <w:szCs w:val="22"/>
          <w:lang w:val="es-NI"/>
        </w:rPr>
        <w:t xml:space="preserve"> a la Ganaderia.  Agroasemex S.A. Santiago de Queretaro, ISBN 968-9098-00-4, Agosto 2006.</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Agroasemex 2010a. Seguro paramétrico en ganadería.  Junio 2010.</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Agroseguro 2010b. Condiciones del Seguro para la Cobertura de Daños por Sequia en Pastos. LINEAS 133/2010 pag. 1-28.</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Agroseguro 2012.  Seguro para la cobertura de daños por falta de pastos, Temporada 2010/2012.  </w:t>
      </w:r>
      <w:proofErr w:type="gramStart"/>
      <w:r w:rsidRPr="00FE24C0">
        <w:rPr>
          <w:szCs w:val="22"/>
          <w:lang w:val="es-NI"/>
        </w:rPr>
        <w:t>www</w:t>
      </w:r>
      <w:proofErr w:type="gramEnd"/>
      <w:r w:rsidRPr="00FE24C0">
        <w:rPr>
          <w:szCs w:val="22"/>
          <w:lang w:val="es-NI"/>
        </w:rPr>
        <w:t>. Agroseguro.es.</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Agroseguro 2012. Informe Annual 2011.  </w:t>
      </w:r>
      <w:hyperlink r:id="rId50" w:history="1">
        <w:r w:rsidRPr="00FE24C0">
          <w:rPr>
            <w:rStyle w:val="Hipervnculo"/>
            <w:szCs w:val="22"/>
            <w:lang w:val="es-NI"/>
          </w:rPr>
          <w:t>http://www.agroseguro.es/memoria2011/Informes.html</w:t>
        </w:r>
      </w:hyperlink>
    </w:p>
    <w:p w:rsidR="000C6233" w:rsidRPr="008876E4" w:rsidRDefault="009E4ACC">
      <w:pPr>
        <w:pStyle w:val="APDroughtPara"/>
        <w:numPr>
          <w:ilvl w:val="0"/>
          <w:numId w:val="0"/>
        </w:numPr>
        <w:spacing w:after="120"/>
        <w:jc w:val="left"/>
        <w:outlineLvl w:val="9"/>
        <w:rPr>
          <w:szCs w:val="22"/>
          <w:lang w:val="es-NI"/>
        </w:rPr>
      </w:pPr>
      <w:r w:rsidRPr="00FE24C0">
        <w:rPr>
          <w:szCs w:val="22"/>
          <w:lang w:val="es-NI"/>
        </w:rPr>
        <w:t xml:space="preserve">Alonso, G., F. 2012. Seguro de Previsibilidad de Multi-riesgo Agricola Nacional (SEMUNA) en el Territorio de la Republica de Argentina.  No. de Expediente, 2320-D-2012, Trámite Parlamentario 032 (19/04/2012).  </w:t>
      </w:r>
      <w:r w:rsidR="00F0345D" w:rsidRPr="00F0345D">
        <w:rPr>
          <w:szCs w:val="22"/>
          <w:lang w:val="es-NI"/>
        </w:rPr>
        <w:t xml:space="preserve">Available at:  </w:t>
      </w:r>
      <w:hyperlink r:id="rId51" w:tgtFrame="_blank" w:history="1">
        <w:r w:rsidR="00F0345D" w:rsidRPr="00F0345D">
          <w:rPr>
            <w:color w:val="0066CC"/>
            <w:szCs w:val="22"/>
            <w:lang w:val="es-NI" w:eastAsia="es-AR"/>
          </w:rPr>
          <w:t>http://www1.hcdn.gov.ar/proyxml/expediente.asp?fundamentos=si&amp;numexp=2320-D-2012</w:t>
        </w:r>
      </w:hyperlink>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Bavera, G. 2002.  Epocas de Servicio y Paricion.  Curso de Produccion Bovia de Carne, FAV UNRC. www.produccion-animal.com.ar</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Bavera, G.A., O.A. Bocco, H.A. Beguet y C. Penafort (2006).  Raciones de Suplementos y Pasturas y Presupuestion Forrajera.  Cursos de Produccion Bovina de Carne, FAV UNRC. </w:t>
      </w:r>
      <w:hyperlink r:id="rId52" w:history="1">
        <w:r w:rsidRPr="00FE24C0">
          <w:rPr>
            <w:rStyle w:val="Hipervnculo"/>
            <w:szCs w:val="22"/>
            <w:lang w:val="es-NI"/>
          </w:rPr>
          <w:t>www.produccion-animal.com.ar</w:t>
        </w:r>
      </w:hyperlink>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Bavera, G.A. (2006). </w:t>
      </w:r>
      <w:proofErr w:type="gramStart"/>
      <w:r w:rsidRPr="00FE24C0">
        <w:rPr>
          <w:szCs w:val="22"/>
          <w:lang w:val="es-NI"/>
        </w:rPr>
        <w:t>Equivalencias Ganadera</w:t>
      </w:r>
      <w:proofErr w:type="gramEnd"/>
      <w:r w:rsidRPr="00FE24C0">
        <w:rPr>
          <w:szCs w:val="22"/>
          <w:lang w:val="es-NI"/>
        </w:rPr>
        <w:t xml:space="preserve">.  Recopilacion para el Curso de Produccion Bovina de Carne, FAV UNRC.  </w:t>
      </w:r>
      <w:hyperlink r:id="rId53" w:history="1">
        <w:r w:rsidRPr="00FE24C0">
          <w:rPr>
            <w:rStyle w:val="Hipervnculo"/>
            <w:szCs w:val="22"/>
            <w:lang w:val="es-NI"/>
          </w:rPr>
          <w:t>www.produccion-animal.com.ar</w:t>
        </w:r>
      </w:hyperlink>
    </w:p>
    <w:p w:rsidR="000C6233" w:rsidRPr="00FE24C0" w:rsidRDefault="009E4ACC">
      <w:pPr>
        <w:pStyle w:val="APDroughtPara"/>
        <w:numPr>
          <w:ilvl w:val="0"/>
          <w:numId w:val="0"/>
        </w:numPr>
        <w:spacing w:after="120"/>
        <w:jc w:val="left"/>
        <w:outlineLvl w:val="9"/>
        <w:rPr>
          <w:szCs w:val="22"/>
        </w:rPr>
      </w:pPr>
      <w:r w:rsidRPr="00FE24C0">
        <w:rPr>
          <w:szCs w:val="22"/>
          <w:lang w:val="es-NI"/>
        </w:rPr>
        <w:t xml:space="preserve">Buryaile, R., Chemes, J. O., Gonzalez, G. E., Aspiazu, L. B., Casañas, J. F., y Re, H. L. 2012.  Seguro Basico Agropecuario y Forestal (BAF).  No. de Expediente, 2970-D-2012, Trámite Parlamentario 046 (11/05/2012).  </w:t>
      </w:r>
      <w:r w:rsidR="00703832" w:rsidRPr="00FE24C0">
        <w:rPr>
          <w:szCs w:val="22"/>
        </w:rPr>
        <w:t xml:space="preserve">Available at:  </w:t>
      </w:r>
      <w:hyperlink r:id="rId54" w:history="1">
        <w:r w:rsidR="00A36C87" w:rsidRPr="00FE24C0">
          <w:rPr>
            <w:color w:val="0066CC"/>
            <w:szCs w:val="22"/>
            <w:lang w:eastAsia="es-AR"/>
          </w:rPr>
          <w:t>http://www1.hcdn.gov.ar/proyxml/expediente.asp?fundamentos=si&amp;numexp=2970-D-2012</w:t>
        </w:r>
      </w:hyperlink>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Carbonell, C.T. (undated). En situaciones de sequia</w:t>
      </w:r>
      <w:proofErr w:type="gramStart"/>
      <w:r w:rsidRPr="00FE24C0">
        <w:rPr>
          <w:szCs w:val="22"/>
          <w:lang w:val="es-NI"/>
        </w:rPr>
        <w:t>:  El</w:t>
      </w:r>
      <w:proofErr w:type="gramEnd"/>
      <w:r w:rsidRPr="00FE24C0">
        <w:rPr>
          <w:szCs w:val="22"/>
          <w:lang w:val="es-NI"/>
        </w:rPr>
        <w:t xml:space="preserve"> ajuste de caraga animal para la entrada y salida del invierno.  INTA, Estacion </w:t>
      </w:r>
      <w:r w:rsidR="00455E50" w:rsidRPr="00FE24C0">
        <w:rPr>
          <w:szCs w:val="22"/>
          <w:lang w:val="es-NI"/>
        </w:rPr>
        <w:t>Experimental</w:t>
      </w:r>
      <w:r w:rsidRPr="00FE24C0">
        <w:rPr>
          <w:szCs w:val="22"/>
          <w:lang w:val="es-NI"/>
        </w:rPr>
        <w:t xml:space="preserve"> Agropecuaria, EEA, Bordenave, Buenos Aires.</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Campo, A. M., Ramos, M. B., Zapperi, P. A. (2009). </w:t>
      </w:r>
      <w:r w:rsidR="00455E50" w:rsidRPr="00FE24C0">
        <w:rPr>
          <w:szCs w:val="22"/>
          <w:lang w:val="es-NI"/>
        </w:rPr>
        <w:t>Análisis</w:t>
      </w:r>
      <w:r w:rsidRPr="00FE24C0">
        <w:rPr>
          <w:szCs w:val="22"/>
          <w:lang w:val="es-NI"/>
        </w:rPr>
        <w:t xml:space="preserve"> de las variaciones anuales de </w:t>
      </w:r>
      <w:r w:rsidR="00455E50" w:rsidRPr="00FE24C0">
        <w:rPr>
          <w:szCs w:val="22"/>
          <w:lang w:val="es-NI"/>
        </w:rPr>
        <w:t>precipitación</w:t>
      </w:r>
      <w:r w:rsidRPr="00FE24C0">
        <w:rPr>
          <w:szCs w:val="22"/>
          <w:lang w:val="es-NI"/>
        </w:rPr>
        <w:t xml:space="preserve"> en el Suroeste Bonaerense, Argentina.</w:t>
      </w:r>
    </w:p>
    <w:p w:rsidR="000C6233" w:rsidRPr="00E43164" w:rsidRDefault="009E4ACC">
      <w:pPr>
        <w:pStyle w:val="APDroughtPara"/>
        <w:numPr>
          <w:ilvl w:val="0"/>
          <w:numId w:val="0"/>
        </w:numPr>
        <w:spacing w:after="120"/>
        <w:jc w:val="left"/>
        <w:outlineLvl w:val="9"/>
        <w:rPr>
          <w:szCs w:val="22"/>
          <w:lang w:val="en-GB"/>
        </w:rPr>
      </w:pPr>
      <w:r w:rsidRPr="00FE24C0">
        <w:rPr>
          <w:szCs w:val="22"/>
          <w:lang w:val="es-NI"/>
        </w:rPr>
        <w:t xml:space="preserve">Carillo, J. (2001).  Carga animal y equivalente vaca (E.V.).  </w:t>
      </w:r>
      <w:proofErr w:type="gramStart"/>
      <w:r w:rsidR="00455E50" w:rsidRPr="00E43164">
        <w:rPr>
          <w:szCs w:val="22"/>
          <w:lang w:val="en-GB"/>
        </w:rPr>
        <w:t>Octubre</w:t>
      </w:r>
      <w:r w:rsidRPr="00E43164">
        <w:rPr>
          <w:szCs w:val="22"/>
          <w:lang w:val="en-GB"/>
        </w:rPr>
        <w:t xml:space="preserve"> 2001.</w:t>
      </w:r>
      <w:proofErr w:type="gramEnd"/>
    </w:p>
    <w:p w:rsidR="008B6C3B" w:rsidRDefault="008A63B5">
      <w:pPr>
        <w:pStyle w:val="APDroughtPara"/>
        <w:numPr>
          <w:ilvl w:val="0"/>
          <w:numId w:val="0"/>
        </w:numPr>
        <w:spacing w:after="120"/>
        <w:jc w:val="left"/>
        <w:outlineLvl w:val="9"/>
        <w:rPr>
          <w:szCs w:val="22"/>
          <w:lang w:val="es-NI"/>
        </w:rPr>
      </w:pPr>
      <w:proofErr w:type="gramStart"/>
      <w:r w:rsidRPr="00E43164">
        <w:rPr>
          <w:szCs w:val="22"/>
          <w:lang w:val="en-GB"/>
        </w:rPr>
        <w:t xml:space="preserve">Cryer, </w:t>
      </w:r>
      <w:r w:rsidR="008B6C3B" w:rsidRPr="00E43164">
        <w:rPr>
          <w:szCs w:val="22"/>
          <w:lang w:val="en-GB"/>
        </w:rPr>
        <w:t>J. D. and Chan, K. (2008).</w:t>
      </w:r>
      <w:proofErr w:type="gramEnd"/>
      <w:r w:rsidR="008B6C3B" w:rsidRPr="00E43164">
        <w:rPr>
          <w:szCs w:val="22"/>
          <w:lang w:val="en-GB"/>
        </w:rPr>
        <w:t xml:space="preserve"> </w:t>
      </w:r>
      <w:proofErr w:type="gramStart"/>
      <w:r w:rsidR="008B6C3B" w:rsidRPr="00E43164">
        <w:rPr>
          <w:szCs w:val="22"/>
          <w:lang w:val="en-GB"/>
        </w:rPr>
        <w:t>Time Series Analysis.</w:t>
      </w:r>
      <w:proofErr w:type="gramEnd"/>
      <w:r w:rsidR="008B6C3B" w:rsidRPr="00E43164">
        <w:rPr>
          <w:szCs w:val="22"/>
          <w:lang w:val="en-GB"/>
        </w:rPr>
        <w:t xml:space="preserve"> </w:t>
      </w:r>
      <w:proofErr w:type="gramStart"/>
      <w:r w:rsidR="008B6C3B" w:rsidRPr="00E43164">
        <w:rPr>
          <w:szCs w:val="22"/>
          <w:lang w:val="en-GB"/>
        </w:rPr>
        <w:t>With Applications in R.</w:t>
      </w:r>
      <w:proofErr w:type="gramEnd"/>
      <w:r w:rsidR="008B6C3B" w:rsidRPr="00E43164">
        <w:rPr>
          <w:szCs w:val="22"/>
          <w:lang w:val="en-GB"/>
        </w:rPr>
        <w:t xml:space="preserve"> </w:t>
      </w:r>
      <w:proofErr w:type="gramStart"/>
      <w:r w:rsidR="008B6C3B" w:rsidRPr="00E43164">
        <w:rPr>
          <w:szCs w:val="22"/>
          <w:lang w:val="en-GB"/>
        </w:rPr>
        <w:t>Second Edition.</w:t>
      </w:r>
      <w:proofErr w:type="gramEnd"/>
      <w:r w:rsidR="008B6C3B" w:rsidRPr="00E43164">
        <w:rPr>
          <w:szCs w:val="22"/>
          <w:lang w:val="en-GB"/>
        </w:rPr>
        <w:t xml:space="preserve"> </w:t>
      </w:r>
      <w:r w:rsidR="008B6C3B">
        <w:rPr>
          <w:szCs w:val="22"/>
          <w:lang w:val="es-NI"/>
        </w:rPr>
        <w:t>Springer, New York, USA.</w:t>
      </w:r>
    </w:p>
    <w:p w:rsidR="000C6233" w:rsidRPr="00FE24C0" w:rsidRDefault="009E4ACC">
      <w:pPr>
        <w:pStyle w:val="APDroughtPara"/>
        <w:numPr>
          <w:ilvl w:val="0"/>
          <w:numId w:val="0"/>
        </w:numPr>
        <w:spacing w:after="120"/>
        <w:jc w:val="left"/>
        <w:outlineLvl w:val="9"/>
        <w:rPr>
          <w:szCs w:val="22"/>
        </w:rPr>
      </w:pPr>
      <w:r w:rsidRPr="00FE24C0">
        <w:rPr>
          <w:szCs w:val="22"/>
          <w:lang w:val="es-NI"/>
        </w:rPr>
        <w:lastRenderedPageBreak/>
        <w:t xml:space="preserve">Glave, A. (2006). Influencia </w:t>
      </w:r>
      <w:r w:rsidR="00455E50" w:rsidRPr="00FE24C0">
        <w:rPr>
          <w:szCs w:val="22"/>
          <w:lang w:val="es-NI"/>
        </w:rPr>
        <w:t>Climática</w:t>
      </w:r>
      <w:r w:rsidRPr="00FE24C0">
        <w:rPr>
          <w:szCs w:val="22"/>
          <w:lang w:val="es-NI"/>
        </w:rPr>
        <w:t xml:space="preserve"> en el Sudoeste Bonaerense y Sudeste de la Pampa. </w:t>
      </w:r>
      <w:r w:rsidR="00F16D99" w:rsidRPr="00FE24C0">
        <w:rPr>
          <w:szCs w:val="22"/>
        </w:rPr>
        <w:t xml:space="preserve">Acaecer, 31(360): 18-23. </w:t>
      </w:r>
      <w:hyperlink r:id="rId55" w:history="1">
        <w:r w:rsidR="00F16D99" w:rsidRPr="00FE24C0">
          <w:rPr>
            <w:rStyle w:val="Hipervnculo"/>
            <w:szCs w:val="22"/>
          </w:rPr>
          <w:t>www.produccion.animal.com.ar</w:t>
        </w:r>
      </w:hyperlink>
    </w:p>
    <w:p w:rsidR="000C6233" w:rsidRPr="00FE24C0" w:rsidRDefault="00F575C2">
      <w:pPr>
        <w:pStyle w:val="APDroughtPara"/>
        <w:numPr>
          <w:ilvl w:val="0"/>
          <w:numId w:val="0"/>
        </w:numPr>
        <w:spacing w:after="120"/>
        <w:jc w:val="left"/>
        <w:outlineLvl w:val="9"/>
        <w:rPr>
          <w:szCs w:val="22"/>
        </w:rPr>
      </w:pPr>
      <w:proofErr w:type="gramStart"/>
      <w:r w:rsidRPr="00FE24C0">
        <w:rPr>
          <w:szCs w:val="22"/>
        </w:rPr>
        <w:t>Grime, S.W.S. (undated).</w:t>
      </w:r>
      <w:proofErr w:type="gramEnd"/>
      <w:r w:rsidRPr="00FE24C0">
        <w:rPr>
          <w:szCs w:val="22"/>
        </w:rPr>
        <w:t xml:space="preserve"> Normalized Difference </w:t>
      </w:r>
      <w:r w:rsidR="00455E50" w:rsidRPr="00FE24C0">
        <w:rPr>
          <w:szCs w:val="22"/>
        </w:rPr>
        <w:t>Vegetation</w:t>
      </w:r>
      <w:r w:rsidRPr="00FE24C0">
        <w:rPr>
          <w:szCs w:val="22"/>
        </w:rPr>
        <w:t xml:space="preserve"> Index (NDVI).  http://www.met.rdg.ac.uk/~swsgrime/artmeis/ch3/ndvi/ndvi.html</w:t>
      </w:r>
    </w:p>
    <w:p w:rsidR="000C6233" w:rsidRPr="00FE24C0" w:rsidRDefault="00F16D99">
      <w:pPr>
        <w:pStyle w:val="APDroughtPara"/>
        <w:numPr>
          <w:ilvl w:val="0"/>
          <w:numId w:val="0"/>
        </w:numPr>
        <w:spacing w:after="120"/>
        <w:jc w:val="left"/>
        <w:outlineLvl w:val="9"/>
        <w:rPr>
          <w:szCs w:val="22"/>
        </w:rPr>
      </w:pPr>
      <w:proofErr w:type="gramStart"/>
      <w:r w:rsidRPr="00FE24C0">
        <w:rPr>
          <w:szCs w:val="22"/>
        </w:rPr>
        <w:t>Guerschman, J.P., J.M. Paruelo and I.C. Burke (2003).</w:t>
      </w:r>
      <w:proofErr w:type="gramEnd"/>
      <w:r w:rsidRPr="00FE24C0">
        <w:rPr>
          <w:szCs w:val="22"/>
        </w:rPr>
        <w:t xml:space="preserve">  Land Use Impacts on the Normalized Difference Vegetation Index in Temperate Argentina. </w:t>
      </w:r>
      <w:r w:rsidR="00850C15" w:rsidRPr="00FE24C0">
        <w:rPr>
          <w:szCs w:val="22"/>
        </w:rPr>
        <w:t>Ecological Applications, Volume 13(3), 2003, pp 616-628.</w:t>
      </w:r>
    </w:p>
    <w:p w:rsidR="000C6233" w:rsidRPr="00FE24C0" w:rsidRDefault="00BB4244">
      <w:pPr>
        <w:pStyle w:val="APDroughtPara"/>
        <w:numPr>
          <w:ilvl w:val="0"/>
          <w:numId w:val="0"/>
        </w:numPr>
        <w:spacing w:after="120"/>
        <w:jc w:val="left"/>
        <w:rPr>
          <w:szCs w:val="22"/>
        </w:rPr>
      </w:pPr>
      <w:r w:rsidRPr="00FE24C0">
        <w:rPr>
          <w:szCs w:val="22"/>
        </w:rPr>
        <w:t xml:space="preserve">Holben, B.N., 1986. Characteristics of maximum-value composite images from temporal AVHRR data, International Journal of </w:t>
      </w:r>
      <w:r w:rsidR="00937F0B" w:rsidRPr="00FE24C0">
        <w:rPr>
          <w:szCs w:val="22"/>
        </w:rPr>
        <w:t>Remote Sensing</w:t>
      </w:r>
      <w:r w:rsidRPr="00FE24C0">
        <w:rPr>
          <w:szCs w:val="22"/>
        </w:rPr>
        <w:t>, 7:1417–1434.</w:t>
      </w:r>
    </w:p>
    <w:p w:rsidR="000C6233" w:rsidRPr="00FE24C0" w:rsidRDefault="00AF7994">
      <w:pPr>
        <w:pStyle w:val="APDroughtPara"/>
        <w:numPr>
          <w:ilvl w:val="0"/>
          <w:numId w:val="0"/>
        </w:numPr>
        <w:spacing w:after="120"/>
        <w:jc w:val="left"/>
        <w:rPr>
          <w:szCs w:val="22"/>
        </w:rPr>
      </w:pPr>
      <w:proofErr w:type="gramStart"/>
      <w:r w:rsidRPr="00FE24C0">
        <w:rPr>
          <w:szCs w:val="22"/>
        </w:rPr>
        <w:t>Lardy, G., and C. Stoltenow.</w:t>
      </w:r>
      <w:proofErr w:type="gramEnd"/>
      <w:r w:rsidRPr="00FE24C0">
        <w:rPr>
          <w:szCs w:val="22"/>
        </w:rPr>
        <w:t xml:space="preserve"> 1999. Livestock and Water. </w:t>
      </w:r>
      <w:proofErr w:type="gramStart"/>
      <w:r w:rsidRPr="00FE24C0">
        <w:rPr>
          <w:szCs w:val="22"/>
        </w:rPr>
        <w:t>NDSU AS-954</w:t>
      </w:r>
      <w:r w:rsidR="004E509B" w:rsidRPr="00FE24C0">
        <w:rPr>
          <w:szCs w:val="22"/>
        </w:rPr>
        <w:t>.</w:t>
      </w:r>
      <w:proofErr w:type="gramEnd"/>
      <w:r w:rsidR="004E509B" w:rsidRPr="00FE24C0">
        <w:rPr>
          <w:szCs w:val="22"/>
        </w:rPr>
        <w:t xml:space="preserve"> </w:t>
      </w:r>
      <w:proofErr w:type="gramStart"/>
      <w:r w:rsidR="004E509B" w:rsidRPr="00FE24C0">
        <w:rPr>
          <w:szCs w:val="22"/>
        </w:rPr>
        <w:t>[On Line].</w:t>
      </w:r>
      <w:proofErr w:type="gramEnd"/>
      <w:r w:rsidR="004E509B" w:rsidRPr="00FE24C0">
        <w:rPr>
          <w:szCs w:val="22"/>
        </w:rPr>
        <w:t xml:space="preserve"> Available from:</w:t>
      </w:r>
      <w:r w:rsidRPr="00FE24C0">
        <w:rPr>
          <w:szCs w:val="22"/>
        </w:rPr>
        <w:t xml:space="preserve">  www.ag.ndsu.edu/pubs/ansci/livestoc/as954w.htm</w:t>
      </w:r>
    </w:p>
    <w:p w:rsidR="000C6233" w:rsidRPr="00FE24C0" w:rsidRDefault="003B17BB">
      <w:pPr>
        <w:pStyle w:val="APDroughtPara"/>
        <w:numPr>
          <w:ilvl w:val="0"/>
          <w:numId w:val="0"/>
        </w:numPr>
        <w:spacing w:after="120"/>
        <w:jc w:val="left"/>
        <w:rPr>
          <w:szCs w:val="22"/>
        </w:rPr>
      </w:pPr>
      <w:proofErr w:type="gramStart"/>
      <w:r w:rsidRPr="00FE24C0">
        <w:rPr>
          <w:szCs w:val="22"/>
          <w:lang w:val="en-GB"/>
        </w:rPr>
        <w:t>Mahul, O., and C.J. Stutley 2010.</w:t>
      </w:r>
      <w:proofErr w:type="gramEnd"/>
      <w:r w:rsidRPr="00FE24C0">
        <w:rPr>
          <w:szCs w:val="22"/>
          <w:lang w:val="en-GB"/>
        </w:rPr>
        <w:t xml:space="preserve">  </w:t>
      </w:r>
      <w:proofErr w:type="gramStart"/>
      <w:r w:rsidRPr="00FE24C0">
        <w:rPr>
          <w:szCs w:val="22"/>
          <w:lang w:val="en-GB"/>
        </w:rPr>
        <w:t>Government Support for Agricultural Insurance.</w:t>
      </w:r>
      <w:proofErr w:type="gramEnd"/>
      <w:r w:rsidRPr="00FE24C0">
        <w:rPr>
          <w:szCs w:val="22"/>
          <w:lang w:val="en-GB"/>
        </w:rPr>
        <w:t xml:space="preserve"> </w:t>
      </w:r>
      <w:proofErr w:type="gramStart"/>
      <w:r w:rsidRPr="00FE24C0">
        <w:rPr>
          <w:szCs w:val="22"/>
          <w:lang w:val="en-GB"/>
        </w:rPr>
        <w:t>Challenges and Opportunities for Developing Countries.</w:t>
      </w:r>
      <w:proofErr w:type="gramEnd"/>
      <w:r w:rsidRPr="00FE24C0">
        <w:rPr>
          <w:szCs w:val="22"/>
          <w:lang w:val="en-GB"/>
        </w:rPr>
        <w:t xml:space="preserve">  Volume 1, Main Report and Volume 2, Annex E, International Experiences with Agricultural Insurance: Findings from a World Bank Survey of 65 countries. </w:t>
      </w:r>
      <w:proofErr w:type="gramStart"/>
      <w:r w:rsidR="001A24FC" w:rsidRPr="00FE24C0">
        <w:rPr>
          <w:szCs w:val="22"/>
        </w:rPr>
        <w:t>The World Bank, Washington DC.</w:t>
      </w:r>
      <w:proofErr w:type="gramEnd"/>
    </w:p>
    <w:p w:rsidR="000C6233" w:rsidRDefault="001A24FC">
      <w:pPr>
        <w:pStyle w:val="APDroughtPara"/>
        <w:numPr>
          <w:ilvl w:val="0"/>
          <w:numId w:val="0"/>
        </w:numPr>
        <w:spacing w:after="120"/>
        <w:jc w:val="left"/>
        <w:rPr>
          <w:szCs w:val="22"/>
        </w:rPr>
      </w:pPr>
      <w:proofErr w:type="gramStart"/>
      <w:r w:rsidRPr="00FE24C0">
        <w:rPr>
          <w:szCs w:val="22"/>
        </w:rPr>
        <w:t xml:space="preserve">Marengo, J.; Baez, J. and Ronchail, J. </w:t>
      </w:r>
      <w:r w:rsidR="00C066CE" w:rsidRPr="00FE24C0">
        <w:rPr>
          <w:szCs w:val="22"/>
        </w:rPr>
        <w:t>2008.</w:t>
      </w:r>
      <w:proofErr w:type="gramEnd"/>
      <w:r w:rsidR="00C066CE" w:rsidRPr="00FE24C0">
        <w:rPr>
          <w:szCs w:val="22"/>
        </w:rPr>
        <w:t xml:space="preserve"> </w:t>
      </w:r>
      <w:proofErr w:type="gramStart"/>
      <w:r w:rsidR="00C066CE" w:rsidRPr="00FE24C0">
        <w:rPr>
          <w:szCs w:val="22"/>
        </w:rPr>
        <w:t>Regional Climates [In “State of the Climate in 2008].</w:t>
      </w:r>
      <w:proofErr w:type="gramEnd"/>
      <w:r w:rsidR="00C066CE" w:rsidRPr="00FE24C0">
        <w:rPr>
          <w:szCs w:val="22"/>
        </w:rPr>
        <w:t xml:space="preserve"> </w:t>
      </w:r>
      <w:r w:rsidR="00C066CE" w:rsidRPr="00FE24C0">
        <w:rPr>
          <w:i/>
          <w:iCs/>
          <w:szCs w:val="22"/>
        </w:rPr>
        <w:t xml:space="preserve">Bull. Amer. Meteor. </w:t>
      </w:r>
      <w:proofErr w:type="gramStart"/>
      <w:r w:rsidR="00C066CE" w:rsidRPr="00FE24C0">
        <w:rPr>
          <w:i/>
          <w:iCs/>
          <w:szCs w:val="22"/>
        </w:rPr>
        <w:t>Soc.</w:t>
      </w:r>
      <w:r w:rsidR="00C066CE" w:rsidRPr="00FE24C0">
        <w:rPr>
          <w:szCs w:val="22"/>
        </w:rPr>
        <w:t xml:space="preserve">, </w:t>
      </w:r>
      <w:r w:rsidR="00C066CE" w:rsidRPr="00FE24C0">
        <w:rPr>
          <w:b/>
          <w:bCs/>
          <w:szCs w:val="22"/>
        </w:rPr>
        <w:t>90</w:t>
      </w:r>
      <w:r w:rsidR="00657EB3" w:rsidRPr="00FE24C0">
        <w:rPr>
          <w:szCs w:val="22"/>
        </w:rPr>
        <w:t>, p.</w:t>
      </w:r>
      <w:r w:rsidR="00C066CE" w:rsidRPr="00FE24C0">
        <w:rPr>
          <w:szCs w:val="22"/>
        </w:rPr>
        <w:t>1</w:t>
      </w:r>
      <w:r w:rsidR="00657EB3" w:rsidRPr="00FE24C0">
        <w:rPr>
          <w:szCs w:val="22"/>
        </w:rPr>
        <w:t>23-170 [On Line].</w:t>
      </w:r>
      <w:proofErr w:type="gramEnd"/>
      <w:r w:rsidR="00657EB3" w:rsidRPr="00FE24C0">
        <w:rPr>
          <w:szCs w:val="22"/>
        </w:rPr>
        <w:t xml:space="preserve"> Available from: </w:t>
      </w:r>
      <w:hyperlink r:id="rId56" w:history="1">
        <w:r w:rsidR="00657EB3" w:rsidRPr="00FE24C0">
          <w:rPr>
            <w:rStyle w:val="Hipervnculo"/>
            <w:szCs w:val="22"/>
          </w:rPr>
          <w:t>http://www.ncdc.noaa.gov/bams-state-of-the-climate/2008.php</w:t>
        </w:r>
      </w:hyperlink>
      <w:r w:rsidR="004E509B" w:rsidRPr="00FE24C0">
        <w:rPr>
          <w:szCs w:val="22"/>
        </w:rPr>
        <w:t>.</w:t>
      </w:r>
      <w:r w:rsidR="00657EB3" w:rsidRPr="00FE24C0">
        <w:rPr>
          <w:szCs w:val="22"/>
        </w:rPr>
        <w:t xml:space="preserve"> </w:t>
      </w:r>
    </w:p>
    <w:p w:rsidR="00BE6798" w:rsidRPr="00BE6798" w:rsidRDefault="00F0345D">
      <w:pPr>
        <w:pStyle w:val="APDroughtPara"/>
        <w:numPr>
          <w:ilvl w:val="0"/>
          <w:numId w:val="0"/>
        </w:numPr>
        <w:spacing w:after="120"/>
        <w:jc w:val="left"/>
        <w:rPr>
          <w:szCs w:val="22"/>
          <w:lang w:val="es-NI"/>
        </w:rPr>
      </w:pPr>
      <w:r w:rsidRPr="00F0345D">
        <w:rPr>
          <w:szCs w:val="22"/>
          <w:lang w:val="es-NI"/>
        </w:rPr>
        <w:t>Mart</w:t>
      </w:r>
      <w:r w:rsidR="00BE6798">
        <w:rPr>
          <w:szCs w:val="22"/>
          <w:lang w:val="es-NI"/>
        </w:rPr>
        <w:t>í</w:t>
      </w:r>
      <w:r w:rsidRPr="00F0345D">
        <w:rPr>
          <w:szCs w:val="22"/>
          <w:lang w:val="es-NI"/>
        </w:rPr>
        <w:t>nez de Ibarreta, M., (2006). PR</w:t>
      </w:r>
      <w:r w:rsidR="00BE6798">
        <w:rPr>
          <w:szCs w:val="22"/>
          <w:lang w:val="es-NI"/>
        </w:rPr>
        <w:t>OSAP – Sub-Projecto “Riego y Seguro Agropecuario” (Periodo diciembre 2003-diciembre 2005). Informe Final de Evaluación.</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Mayer, A.F. (undated)</w:t>
      </w:r>
      <w:r w:rsidRPr="00FE24C0">
        <w:rPr>
          <w:szCs w:val="22"/>
          <w:lang w:val="es-NI"/>
        </w:rPr>
        <w:tab/>
        <w:t xml:space="preserve">La Sequia: Otra Amenaza </w:t>
      </w:r>
      <w:r w:rsidR="00455E50" w:rsidRPr="00FE24C0">
        <w:rPr>
          <w:szCs w:val="22"/>
          <w:lang w:val="es-NI"/>
        </w:rPr>
        <w:t>en los</w:t>
      </w:r>
      <w:r w:rsidRPr="00FE24C0">
        <w:rPr>
          <w:szCs w:val="22"/>
          <w:lang w:val="es-NI"/>
        </w:rPr>
        <w:t xml:space="preserve"> Campos Ganaderos</w:t>
      </w:r>
      <w:proofErr w:type="gramStart"/>
      <w:r w:rsidRPr="00FE24C0">
        <w:rPr>
          <w:szCs w:val="22"/>
          <w:lang w:val="es-NI"/>
        </w:rPr>
        <w:t>?</w:t>
      </w:r>
      <w:proofErr w:type="gramEnd"/>
      <w:r w:rsidRPr="00FE24C0">
        <w:rPr>
          <w:szCs w:val="22"/>
          <w:lang w:val="es-NI"/>
        </w:rPr>
        <w:t xml:space="preserve">, INTA, Estacion </w:t>
      </w:r>
      <w:r w:rsidR="00455E50" w:rsidRPr="00FE24C0">
        <w:rPr>
          <w:szCs w:val="22"/>
          <w:lang w:val="es-NI"/>
        </w:rPr>
        <w:t>Experimental</w:t>
      </w:r>
      <w:r w:rsidRPr="00FE24C0">
        <w:rPr>
          <w:szCs w:val="22"/>
          <w:lang w:val="es-NI"/>
        </w:rPr>
        <w:t xml:space="preserve"> Agropecuaria, EEA, Bordenave, Buenos Aires.</w:t>
      </w:r>
    </w:p>
    <w:p w:rsidR="000C6233" w:rsidRDefault="00416961">
      <w:pPr>
        <w:pStyle w:val="APDroughtPara"/>
        <w:numPr>
          <w:ilvl w:val="0"/>
          <w:numId w:val="0"/>
        </w:numPr>
        <w:spacing w:after="120"/>
        <w:jc w:val="left"/>
        <w:outlineLvl w:val="9"/>
        <w:rPr>
          <w:szCs w:val="22"/>
          <w:lang w:val="es-NI"/>
        </w:rPr>
      </w:pPr>
      <w:proofErr w:type="gramStart"/>
      <w:r w:rsidRPr="00FE24C0">
        <w:rPr>
          <w:szCs w:val="22"/>
        </w:rPr>
        <w:t>Mayer, A.F. and H. Pelta (undated).</w:t>
      </w:r>
      <w:proofErr w:type="gramEnd"/>
      <w:r w:rsidRPr="00FE24C0">
        <w:rPr>
          <w:szCs w:val="22"/>
        </w:rPr>
        <w:t xml:space="preserve"> </w:t>
      </w:r>
      <w:r w:rsidR="009E4ACC" w:rsidRPr="00FE24C0">
        <w:rPr>
          <w:szCs w:val="22"/>
          <w:lang w:val="es-NI"/>
        </w:rPr>
        <w:t>La Sequia: Como Enfrentarla en los Planteos Ganaderos</w:t>
      </w:r>
      <w:proofErr w:type="gramStart"/>
      <w:r w:rsidR="009E4ACC" w:rsidRPr="00FE24C0">
        <w:rPr>
          <w:szCs w:val="22"/>
          <w:lang w:val="es-NI"/>
        </w:rPr>
        <w:t>?</w:t>
      </w:r>
      <w:proofErr w:type="gramEnd"/>
      <w:r w:rsidR="009E4ACC" w:rsidRPr="00FE24C0">
        <w:rPr>
          <w:szCs w:val="22"/>
          <w:lang w:val="es-NI"/>
        </w:rPr>
        <w:t xml:space="preserve"> INTA, Estacion </w:t>
      </w:r>
      <w:r w:rsidR="00455E50" w:rsidRPr="00FE24C0">
        <w:rPr>
          <w:szCs w:val="22"/>
          <w:lang w:val="es-NI"/>
        </w:rPr>
        <w:t>Experimental</w:t>
      </w:r>
      <w:r w:rsidR="009E4ACC" w:rsidRPr="00FE24C0">
        <w:rPr>
          <w:szCs w:val="22"/>
          <w:lang w:val="es-NI"/>
        </w:rPr>
        <w:t xml:space="preserve"> Agropecuaria, EEA, Bordenave, Buenos Aires.</w:t>
      </w:r>
    </w:p>
    <w:p w:rsidR="00DD3F78" w:rsidRPr="00DD3F78" w:rsidRDefault="00DD3F78">
      <w:pPr>
        <w:pStyle w:val="APDroughtPara"/>
        <w:numPr>
          <w:ilvl w:val="0"/>
          <w:numId w:val="0"/>
        </w:numPr>
        <w:spacing w:after="120"/>
        <w:jc w:val="left"/>
        <w:outlineLvl w:val="9"/>
        <w:rPr>
          <w:szCs w:val="22"/>
          <w:lang w:val="es-NI"/>
        </w:rPr>
      </w:pPr>
      <w:proofErr w:type="gramStart"/>
      <w:r>
        <w:rPr>
          <w:szCs w:val="22"/>
          <w:lang w:val="en-GB"/>
        </w:rPr>
        <w:t xml:space="preserve">Ministry of Economy, </w:t>
      </w:r>
      <w:r w:rsidR="00F0345D" w:rsidRPr="00F0345D">
        <w:rPr>
          <w:szCs w:val="22"/>
          <w:lang w:val="en-GB"/>
        </w:rPr>
        <w:t>2012.</w:t>
      </w:r>
      <w:proofErr w:type="gramEnd"/>
      <w:r w:rsidR="00F0345D" w:rsidRPr="00F0345D">
        <w:rPr>
          <w:szCs w:val="22"/>
          <w:lang w:val="en-GB"/>
        </w:rPr>
        <w:t xml:space="preserve">  </w:t>
      </w:r>
      <w:proofErr w:type="gramStart"/>
      <w:r w:rsidR="00F0345D" w:rsidRPr="00F0345D">
        <w:rPr>
          <w:szCs w:val="22"/>
          <w:lang w:val="en-GB"/>
        </w:rPr>
        <w:t>Economic Overview of the Province of Buenos Aires.</w:t>
      </w:r>
      <w:proofErr w:type="gramEnd"/>
      <w:r w:rsidR="00F0345D" w:rsidRPr="00F0345D">
        <w:rPr>
          <w:szCs w:val="22"/>
          <w:lang w:val="en-GB"/>
        </w:rPr>
        <w:t xml:space="preserve"> </w:t>
      </w:r>
      <w:r>
        <w:rPr>
          <w:szCs w:val="22"/>
          <w:lang w:val="en-GB"/>
        </w:rPr>
        <w:t xml:space="preserve"> </w:t>
      </w:r>
      <w:r w:rsidR="00F0345D" w:rsidRPr="00F0345D">
        <w:rPr>
          <w:szCs w:val="22"/>
          <w:lang w:val="es-NI"/>
        </w:rPr>
        <w:t>Ministerio de Econom</w:t>
      </w:r>
      <w:r w:rsidR="00CA780D">
        <w:rPr>
          <w:szCs w:val="22"/>
          <w:lang w:val="es-NI"/>
        </w:rPr>
        <w:t>í</w:t>
      </w:r>
      <w:r>
        <w:rPr>
          <w:szCs w:val="22"/>
          <w:lang w:val="es-NI"/>
        </w:rPr>
        <w:t>a</w:t>
      </w:r>
      <w:r w:rsidR="00F0345D" w:rsidRPr="00F0345D">
        <w:rPr>
          <w:szCs w:val="22"/>
          <w:lang w:val="es-NI"/>
        </w:rPr>
        <w:t>, Direcci</w:t>
      </w:r>
      <w:r w:rsidR="00CA780D">
        <w:rPr>
          <w:szCs w:val="22"/>
          <w:lang w:val="es-NI"/>
        </w:rPr>
        <w:t>ó</w:t>
      </w:r>
      <w:r w:rsidR="00AA4AE2" w:rsidRPr="00AA4AE2">
        <w:rPr>
          <w:szCs w:val="22"/>
          <w:lang w:val="es-NI"/>
        </w:rPr>
        <w:t>n Provincial de Estudios y Proyecciones Econ</w:t>
      </w:r>
      <w:r w:rsidR="00CA780D">
        <w:rPr>
          <w:szCs w:val="22"/>
          <w:lang w:val="es-NI"/>
        </w:rPr>
        <w:t>ó</w:t>
      </w:r>
      <w:r w:rsidR="00F0345D" w:rsidRPr="00F0345D">
        <w:rPr>
          <w:szCs w:val="22"/>
          <w:lang w:val="es-NI"/>
        </w:rPr>
        <w:t xml:space="preserve">micas. </w:t>
      </w:r>
      <w:r>
        <w:rPr>
          <w:szCs w:val="22"/>
          <w:lang w:val="es-NI"/>
        </w:rPr>
        <w:t>March 2012.</w:t>
      </w:r>
    </w:p>
    <w:p w:rsidR="000C6233" w:rsidRDefault="00F0345D">
      <w:pPr>
        <w:pStyle w:val="APDroughtPara"/>
        <w:numPr>
          <w:ilvl w:val="0"/>
          <w:numId w:val="0"/>
        </w:numPr>
        <w:spacing w:after="120"/>
        <w:jc w:val="left"/>
        <w:outlineLvl w:val="9"/>
        <w:rPr>
          <w:szCs w:val="22"/>
        </w:rPr>
      </w:pPr>
      <w:proofErr w:type="gramStart"/>
      <w:r w:rsidRPr="00F0345D">
        <w:rPr>
          <w:szCs w:val="22"/>
          <w:lang w:val="en-GB"/>
        </w:rPr>
        <w:t>RMA 2011.</w:t>
      </w:r>
      <w:proofErr w:type="gramEnd"/>
      <w:r w:rsidRPr="00F0345D">
        <w:rPr>
          <w:szCs w:val="22"/>
          <w:lang w:val="en-GB"/>
        </w:rPr>
        <w:t xml:space="preserve"> </w:t>
      </w:r>
      <w:proofErr w:type="gramStart"/>
      <w:r w:rsidRPr="00F0345D">
        <w:rPr>
          <w:szCs w:val="22"/>
          <w:lang w:val="en-GB"/>
        </w:rPr>
        <w:t>Vegetation Index.</w:t>
      </w:r>
      <w:proofErr w:type="gramEnd"/>
      <w:r w:rsidRPr="00F0345D">
        <w:rPr>
          <w:szCs w:val="22"/>
          <w:lang w:val="en-GB"/>
        </w:rPr>
        <w:t xml:space="preserve"> </w:t>
      </w:r>
      <w:proofErr w:type="gramStart"/>
      <w:r w:rsidR="00F575C2" w:rsidRPr="00FE24C0">
        <w:rPr>
          <w:szCs w:val="22"/>
        </w:rPr>
        <w:t>Insurance Standards Handbook, 2011 and Succeeding Crop Years.</w:t>
      </w:r>
      <w:proofErr w:type="gramEnd"/>
      <w:r w:rsidR="00F575C2" w:rsidRPr="00FE24C0">
        <w:rPr>
          <w:szCs w:val="22"/>
        </w:rPr>
        <w:t xml:space="preserve"> Product Administration and Standards Division, Risk Management Agency, Federal Crop Insurance Corporation FCIC-18140 (06-2010)</w:t>
      </w:r>
    </w:p>
    <w:p w:rsidR="00DD3F78" w:rsidRPr="00DD3F78" w:rsidRDefault="00F0345D">
      <w:pPr>
        <w:pStyle w:val="APDroughtPara"/>
        <w:numPr>
          <w:ilvl w:val="0"/>
          <w:numId w:val="0"/>
        </w:numPr>
        <w:spacing w:after="120"/>
        <w:jc w:val="left"/>
        <w:outlineLvl w:val="9"/>
        <w:rPr>
          <w:szCs w:val="22"/>
          <w:lang w:val="es-NI"/>
        </w:rPr>
      </w:pPr>
      <w:r w:rsidRPr="00F0345D">
        <w:rPr>
          <w:szCs w:val="22"/>
          <w:lang w:val="es-NI"/>
        </w:rPr>
        <w:t>SAyDS, 2012.  Fondo de Adaptaci</w:t>
      </w:r>
      <w:r w:rsidR="00CA780D">
        <w:rPr>
          <w:szCs w:val="22"/>
          <w:lang w:val="es-NI"/>
        </w:rPr>
        <w:t>ó</w:t>
      </w:r>
      <w:r w:rsidRPr="00F0345D">
        <w:rPr>
          <w:szCs w:val="22"/>
          <w:lang w:val="es-NI"/>
        </w:rPr>
        <w:t>n: aumento de la Resiliencias Clim</w:t>
      </w:r>
      <w:r w:rsidR="00CA780D">
        <w:rPr>
          <w:szCs w:val="22"/>
          <w:lang w:val="es-NI"/>
        </w:rPr>
        <w:t>á</w:t>
      </w:r>
      <w:r w:rsidRPr="00F0345D">
        <w:rPr>
          <w:szCs w:val="22"/>
          <w:lang w:val="es-NI"/>
        </w:rPr>
        <w:t xml:space="preserve">tica y Mejora del Manejo Sustentable de la Tierra en El Sudoeste de la Provincia de Buenos Aires. </w:t>
      </w:r>
      <w:r w:rsidR="00DD3F78">
        <w:rPr>
          <w:szCs w:val="22"/>
          <w:lang w:val="es-NI"/>
        </w:rPr>
        <w:t xml:space="preserve"> Marco de Pol</w:t>
      </w:r>
      <w:r w:rsidR="00CA780D">
        <w:rPr>
          <w:szCs w:val="22"/>
          <w:lang w:val="es-NI"/>
        </w:rPr>
        <w:t>ít</w:t>
      </w:r>
      <w:bookmarkStart w:id="51" w:name="_GoBack"/>
      <w:bookmarkEnd w:id="51"/>
      <w:r w:rsidR="00DD3F78">
        <w:rPr>
          <w:szCs w:val="22"/>
          <w:lang w:val="es-NI"/>
        </w:rPr>
        <w:t>ica de Reasentamiento Involuntario, Abril 2012 Anexo VI.</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SSN 2012.  Los Seguros en el Sector Agropecuario y Forestal 2011.  Comunicación SSN 3157, Circular SSN EST 724, 14/05/2012</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Texeira, M., G.C. Accinelli, and M. Oyarzabal. 2011a. Generación de una base de datos para la </w:t>
      </w:r>
      <w:r w:rsidR="00455E50" w:rsidRPr="00FE24C0">
        <w:rPr>
          <w:szCs w:val="22"/>
          <w:lang w:val="es-NI"/>
        </w:rPr>
        <w:t>implementación</w:t>
      </w:r>
      <w:r w:rsidRPr="00FE24C0">
        <w:rPr>
          <w:szCs w:val="22"/>
          <w:lang w:val="es-NI"/>
        </w:rPr>
        <w:t xml:space="preserve"> de seguros ganaderos.  Sudoeste de Buenos Aires, Rio Negro, Chubut.  LART, Facultad de </w:t>
      </w:r>
      <w:r w:rsidR="00455E50" w:rsidRPr="00FE24C0">
        <w:rPr>
          <w:szCs w:val="22"/>
          <w:lang w:val="es-NI"/>
        </w:rPr>
        <w:t>Agronomía</w:t>
      </w:r>
      <w:r w:rsidRPr="00FE24C0">
        <w:rPr>
          <w:szCs w:val="22"/>
          <w:lang w:val="es-NI"/>
        </w:rPr>
        <w:t>, Universidad de Buenos Aires</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 xml:space="preserve">Texeira, M., M. Oyarzabal and D. Arocena. 2011b. Patrones especiales y temporales en el </w:t>
      </w:r>
      <w:r w:rsidR="00455E50" w:rsidRPr="00FE24C0">
        <w:rPr>
          <w:szCs w:val="22"/>
          <w:lang w:val="es-NI"/>
        </w:rPr>
        <w:t>funcionamiento</w:t>
      </w:r>
      <w:r w:rsidRPr="00FE24C0">
        <w:rPr>
          <w:szCs w:val="22"/>
          <w:lang w:val="es-NI"/>
        </w:rPr>
        <w:t xml:space="preserve"> de la vegetación del sudoeste de Buenos Aires y el norte de la Patagonia: </w:t>
      </w:r>
      <w:r w:rsidR="00455E50" w:rsidRPr="00FE24C0">
        <w:rPr>
          <w:szCs w:val="22"/>
          <w:lang w:val="es-NI"/>
        </w:rPr>
        <w:t>generación</w:t>
      </w:r>
      <w:r w:rsidRPr="00FE24C0">
        <w:rPr>
          <w:szCs w:val="22"/>
          <w:lang w:val="es-NI"/>
        </w:rPr>
        <w:t xml:space="preserve"> de una base de datos de </w:t>
      </w:r>
      <w:r w:rsidR="00455E50" w:rsidRPr="00FE24C0">
        <w:rPr>
          <w:szCs w:val="22"/>
          <w:lang w:val="es-NI"/>
        </w:rPr>
        <w:t>aplicación</w:t>
      </w:r>
      <w:r w:rsidRPr="00FE24C0">
        <w:rPr>
          <w:szCs w:val="22"/>
          <w:lang w:val="es-NI"/>
        </w:rPr>
        <w:t xml:space="preserve"> </w:t>
      </w:r>
      <w:r w:rsidR="00455E50" w:rsidRPr="00FE24C0">
        <w:rPr>
          <w:szCs w:val="22"/>
          <w:lang w:val="es-NI"/>
        </w:rPr>
        <w:t>en la</w:t>
      </w:r>
      <w:r w:rsidRPr="00FE24C0">
        <w:rPr>
          <w:szCs w:val="22"/>
          <w:lang w:val="es-NI"/>
        </w:rPr>
        <w:t xml:space="preserve"> implementación de seguros agropecuarios.  LART, Facultad de </w:t>
      </w:r>
      <w:r w:rsidR="00455E50" w:rsidRPr="00FE24C0">
        <w:rPr>
          <w:szCs w:val="22"/>
          <w:lang w:val="es-NI"/>
        </w:rPr>
        <w:t>Agronomía</w:t>
      </w:r>
      <w:r w:rsidRPr="00FE24C0">
        <w:rPr>
          <w:szCs w:val="22"/>
          <w:lang w:val="es-NI"/>
        </w:rPr>
        <w:t>, Universidad de Buenos Aires</w:t>
      </w:r>
    </w:p>
    <w:p w:rsidR="000C6233" w:rsidRPr="00FE24C0" w:rsidRDefault="009E4ACC">
      <w:pPr>
        <w:pStyle w:val="APDroughtPara"/>
        <w:numPr>
          <w:ilvl w:val="0"/>
          <w:numId w:val="0"/>
        </w:numPr>
        <w:spacing w:after="120"/>
        <w:jc w:val="left"/>
        <w:outlineLvl w:val="9"/>
        <w:rPr>
          <w:szCs w:val="22"/>
          <w:lang w:val="es-NI"/>
        </w:rPr>
      </w:pPr>
      <w:r w:rsidRPr="00FE24C0">
        <w:rPr>
          <w:szCs w:val="22"/>
          <w:lang w:val="es-NI"/>
        </w:rPr>
        <w:t>Untitled (undated)</w:t>
      </w:r>
      <w:r w:rsidRPr="00FE24C0">
        <w:rPr>
          <w:szCs w:val="22"/>
          <w:lang w:val="es-NI"/>
        </w:rPr>
        <w:tab/>
        <w:t xml:space="preserve">Conceptos a tener en Cuenta de la Ganaderia Bovina para el Tema de Seguros </w:t>
      </w:r>
      <w:r w:rsidR="00455E50" w:rsidRPr="00FE24C0">
        <w:rPr>
          <w:szCs w:val="22"/>
          <w:lang w:val="es-NI"/>
        </w:rPr>
        <w:t>Índices</w:t>
      </w:r>
      <w:r w:rsidRPr="00FE24C0">
        <w:rPr>
          <w:szCs w:val="22"/>
          <w:lang w:val="es-NI"/>
        </w:rPr>
        <w:t xml:space="preserve"> en el Sur Oeste de la Provincia de Buenos Aires.</w:t>
      </w:r>
    </w:p>
    <w:p w:rsidR="000C6233" w:rsidRPr="00FE24C0" w:rsidRDefault="00AF7994">
      <w:pPr>
        <w:pStyle w:val="APDroughtPara"/>
        <w:numPr>
          <w:ilvl w:val="0"/>
          <w:numId w:val="0"/>
        </w:numPr>
        <w:jc w:val="left"/>
        <w:outlineLvl w:val="9"/>
        <w:rPr>
          <w:szCs w:val="22"/>
        </w:rPr>
      </w:pPr>
      <w:proofErr w:type="gramStart"/>
      <w:r w:rsidRPr="00FE24C0">
        <w:rPr>
          <w:szCs w:val="22"/>
        </w:rPr>
        <w:lastRenderedPageBreak/>
        <w:t>World Bank, 2012.</w:t>
      </w:r>
      <w:proofErr w:type="gramEnd"/>
      <w:r w:rsidRPr="00FE24C0">
        <w:rPr>
          <w:szCs w:val="22"/>
        </w:rPr>
        <w:t xml:space="preserve">  Increasing Climate Resilience &amp; Enhancing Sustainable Land Use Management in the Southwest of the Buenos Aires Province. </w:t>
      </w:r>
      <w:proofErr w:type="gramStart"/>
      <w:r w:rsidRPr="00FE24C0">
        <w:rPr>
          <w:szCs w:val="22"/>
        </w:rPr>
        <w:t>PID Report No.</w:t>
      </w:r>
      <w:proofErr w:type="gramEnd"/>
      <w:r w:rsidRPr="00FE24C0">
        <w:rPr>
          <w:szCs w:val="22"/>
        </w:rPr>
        <w:t xml:space="preserve"> PADA355, </w:t>
      </w:r>
      <w:proofErr w:type="gramStart"/>
      <w:r w:rsidRPr="00FE24C0">
        <w:rPr>
          <w:szCs w:val="22"/>
        </w:rPr>
        <w:t>The</w:t>
      </w:r>
      <w:proofErr w:type="gramEnd"/>
      <w:r w:rsidRPr="00FE24C0">
        <w:rPr>
          <w:szCs w:val="22"/>
        </w:rPr>
        <w:t xml:space="preserve"> World Bank Washington DC.</w:t>
      </w:r>
    </w:p>
    <w:p w:rsidR="00F874FF" w:rsidRPr="00FE24C0" w:rsidRDefault="007D10D6" w:rsidP="003C5324">
      <w:pPr>
        <w:pStyle w:val="StyleAPdroughtChapterAfter36pt"/>
        <w:numPr>
          <w:ilvl w:val="0"/>
          <w:numId w:val="0"/>
        </w:numPr>
        <w:spacing w:after="0"/>
        <w:jc w:val="left"/>
      </w:pPr>
      <w:r w:rsidRPr="00FE24C0">
        <w:br w:type="page"/>
      </w:r>
    </w:p>
    <w:p w:rsidR="000C6233" w:rsidRPr="00FE24C0" w:rsidRDefault="00873989">
      <w:pPr>
        <w:pStyle w:val="Ttulo1"/>
        <w:numPr>
          <w:ilvl w:val="0"/>
          <w:numId w:val="0"/>
        </w:numPr>
        <w:rPr>
          <w:rFonts w:cs="Times New Roman"/>
        </w:rPr>
      </w:pPr>
      <w:bookmarkStart w:id="52" w:name="_Toc345794284"/>
      <w:r w:rsidRPr="00FE24C0">
        <w:rPr>
          <w:rFonts w:cs="Times New Roman"/>
        </w:rPr>
        <w:lastRenderedPageBreak/>
        <w:t xml:space="preserve">Annex </w:t>
      </w:r>
      <w:r w:rsidR="00D07306" w:rsidRPr="00FE24C0">
        <w:rPr>
          <w:rFonts w:cs="Times New Roman"/>
        </w:rPr>
        <w:t>1</w:t>
      </w:r>
      <w:r w:rsidRPr="00FE24C0">
        <w:rPr>
          <w:rFonts w:cs="Times New Roman"/>
        </w:rPr>
        <w:t xml:space="preserve">.  </w:t>
      </w:r>
      <w:r w:rsidR="00FB168B" w:rsidRPr="00FE24C0">
        <w:rPr>
          <w:rFonts w:cs="Times New Roman"/>
        </w:rPr>
        <w:t>Normalized Difference Vegetation Index (NDVI) Photosynthetically Active Radiation absorbed by the plant canopy (FPAR) Database development in SWBA Province Argentina</w:t>
      </w:r>
      <w:bookmarkEnd w:id="52"/>
    </w:p>
    <w:p w:rsidR="003C5324" w:rsidRPr="00FE24C0" w:rsidRDefault="003C5324" w:rsidP="001777D9">
      <w:r w:rsidRPr="00FE24C0">
        <w:t xml:space="preserve">The estimation of vegetation productivity becomes necessary to quantify and determine frequency of anomalies in forage production. Forage productivity (an indicator of the livestock production performance in rangelands) at landscape and regional scales is mainly controlled by environmental factors (precipitation, temperature, topography, soil type, structural characteristics of the dominant vegetation, etc) rather than management decisions of each particular farmer. For this reason, estimates of vegetation productivity allow quantifying the frequency of anomalies associated with extreme weather events in a historical context and establishing the probability of occurrence of these events. </w:t>
      </w:r>
    </w:p>
    <w:p w:rsidR="003C5324" w:rsidRPr="00FE24C0" w:rsidRDefault="003C5324" w:rsidP="001777D9">
      <w:r w:rsidRPr="00FE24C0">
        <w:t>Nowadays, satellite technology allows indirect estimates of vegetation productivity in real time over large areas at low cost. Reflected light by the earth's surface measured by sensors onboard satellites is closely associated with photosynthetic activity and therefore growth or plant production. Due to this relationship and the availability of satellite data from the 80's to the present, long-term time series of regional forage production and detailed forage production by ranchers from the year 2000 to the present can now be generated. Despite that several spectral indices have been designed to estimate forage productivity, the NDVI (Normalized Difference Vegetation Index) is the most widely used. This index includes two key spectral aspects of photosynthetic tissues: its low reflectance in the red wavelength and a high reflectance in the near infrared.</w:t>
      </w:r>
      <w:r w:rsidR="009F2288" w:rsidRPr="00FE24C0">
        <w:t xml:space="preserve"> </w:t>
      </w:r>
      <w:r w:rsidRPr="00FE24C0">
        <w:t xml:space="preserve">The </w:t>
      </w:r>
      <w:r w:rsidRPr="00FE24C0">
        <w:rPr>
          <w:i/>
        </w:rPr>
        <w:t>NDVI</w:t>
      </w:r>
      <w:r w:rsidRPr="00FE24C0">
        <w:t xml:space="preserve"> has been related to aboveground net primary productivity of vegetation (</w:t>
      </w:r>
      <w:r w:rsidRPr="00FE24C0">
        <w:rPr>
          <w:i/>
        </w:rPr>
        <w:t>ANPP</w:t>
      </w:r>
      <w:r w:rsidRPr="00FE24C0">
        <w:t>), as well as leaf area index (</w:t>
      </w:r>
      <w:r w:rsidRPr="00FE24C0">
        <w:rPr>
          <w:i/>
        </w:rPr>
        <w:t>LAI</w:t>
      </w:r>
      <w:r w:rsidRPr="00FE24C0">
        <w:t>) and therefore to the fraction of photosynthetic active radiation intercepted by vegetation (</w:t>
      </w:r>
      <w:r w:rsidRPr="00FE24C0">
        <w:rPr>
          <w:i/>
        </w:rPr>
        <w:t>fPAR</w:t>
      </w:r>
      <w:r w:rsidRPr="00FE24C0">
        <w:t xml:space="preserve">). A strong empirical and theoretical relation exists between </w:t>
      </w:r>
      <w:r w:rsidRPr="00FE24C0">
        <w:rPr>
          <w:i/>
        </w:rPr>
        <w:t>NDVI</w:t>
      </w:r>
      <w:r w:rsidRPr="00FE24C0">
        <w:t xml:space="preserve"> and </w:t>
      </w:r>
      <w:r w:rsidRPr="00FE24C0">
        <w:rPr>
          <w:i/>
        </w:rPr>
        <w:t>fPAR</w:t>
      </w:r>
      <w:r w:rsidRPr="00FE24C0">
        <w:t xml:space="preserve"> allowing the estimation of the absorbed photosynthetically active radiation (</w:t>
      </w:r>
      <w:r w:rsidRPr="00FE24C0">
        <w:rPr>
          <w:i/>
        </w:rPr>
        <w:t>APAR</w:t>
      </w:r>
      <w:r w:rsidRPr="00FE24C0">
        <w:t xml:space="preserve">) by multiplying the </w:t>
      </w:r>
      <w:r w:rsidRPr="00FE24C0">
        <w:rPr>
          <w:i/>
        </w:rPr>
        <w:t>fPAR</w:t>
      </w:r>
      <w:r w:rsidRPr="00FE24C0">
        <w:t xml:space="preserve"> (derived from </w:t>
      </w:r>
      <w:r w:rsidRPr="00FE24C0">
        <w:rPr>
          <w:i/>
        </w:rPr>
        <w:t>NDVI</w:t>
      </w:r>
      <w:r w:rsidRPr="00FE24C0">
        <w:t>) by the incident photosynthetically active radiation (</w:t>
      </w:r>
      <w:r w:rsidRPr="00FE24C0">
        <w:rPr>
          <w:i/>
        </w:rPr>
        <w:t>PAR</w:t>
      </w:r>
      <w:r w:rsidRPr="00FE24C0">
        <w:t>). Finally, forage production, also called the aboveground net primary production (</w:t>
      </w:r>
      <w:r w:rsidRPr="00FE24C0">
        <w:rPr>
          <w:i/>
        </w:rPr>
        <w:t>ANPP</w:t>
      </w:r>
      <w:r w:rsidRPr="00FE24C0">
        <w:t>) can be obtained by applying the Monteith model which states that</w:t>
      </w:r>
      <w:r w:rsidR="00853A41" w:rsidRPr="00FE24C0">
        <w:t>:</w:t>
      </w:r>
    </w:p>
    <w:p w:rsidR="001777D9" w:rsidRDefault="001777D9" w:rsidP="001777D9">
      <w:pPr>
        <w:pStyle w:val="parrafosworldbank"/>
        <w:spacing w:line="240" w:lineRule="auto"/>
        <w:ind w:left="0" w:firstLine="0"/>
        <w:jc w:val="center"/>
        <w:rPr>
          <w:rFonts w:ascii="Times New Roman" w:hAnsi="Times New Roman" w:cs="Times New Roman"/>
          <w:lang w:val="en-US"/>
        </w:rPr>
      </w:pPr>
      <w:r w:rsidRPr="00662EB0">
        <w:rPr>
          <w:position w:val="-10"/>
        </w:rPr>
        <w:object w:dxaOrig="2240" w:dyaOrig="320">
          <v:shape id="_x0000_i1026" type="#_x0000_t75" style="width:129pt;height:18.75pt" o:ole="" o:allowoverlap="f">
            <v:imagedata r:id="rId57" o:title=""/>
          </v:shape>
          <o:OLEObject Type="Embed" ProgID="Equation.DSMT4" ShapeID="_x0000_i1026" DrawAspect="Content" ObjectID="_1419536165" r:id="rId58"/>
        </w:object>
      </w:r>
      <w:r w:rsidR="003C5324" w:rsidRPr="00FE24C0">
        <w:rPr>
          <w:rFonts w:ascii="Times New Roman" w:hAnsi="Times New Roman" w:cs="Times New Roman"/>
          <w:lang w:val="en-US"/>
        </w:rPr>
        <w:tab/>
      </w:r>
      <w:r w:rsidR="003C5324" w:rsidRPr="00FE24C0">
        <w:rPr>
          <w:rFonts w:ascii="Times New Roman" w:hAnsi="Times New Roman" w:cs="Times New Roman"/>
          <w:lang w:val="en-US"/>
        </w:rPr>
        <w:tab/>
        <w:t>(2)</w:t>
      </w:r>
    </w:p>
    <w:p w:rsidR="003C5324" w:rsidRDefault="003C5324" w:rsidP="001777D9">
      <w:pPr>
        <w:pStyle w:val="parrafosworldbank"/>
        <w:spacing w:line="240" w:lineRule="auto"/>
        <w:ind w:left="0" w:firstLine="0"/>
        <w:rPr>
          <w:rFonts w:ascii="Times New Roman" w:hAnsi="Times New Roman" w:cs="Times New Roman"/>
          <w:lang w:val="en-US"/>
        </w:rPr>
      </w:pPr>
      <w:r w:rsidRPr="00FE24C0">
        <w:rPr>
          <w:rFonts w:ascii="Times New Roman" w:hAnsi="Times New Roman" w:cs="Times New Roman"/>
          <w:lang w:val="en-US"/>
        </w:rPr>
        <w:br w:type="textWrapping" w:clear="all"/>
      </w:r>
      <w:proofErr w:type="gramStart"/>
      <w:r w:rsidRPr="00FE24C0">
        <w:rPr>
          <w:rFonts w:ascii="Times New Roman" w:hAnsi="Times New Roman" w:cs="Times New Roman"/>
          <w:lang w:val="en-US"/>
        </w:rPr>
        <w:t>where</w:t>
      </w:r>
      <w:proofErr w:type="gramEnd"/>
      <w:r w:rsidRPr="00FE24C0">
        <w:rPr>
          <w:rFonts w:ascii="Times New Roman" w:hAnsi="Times New Roman" w:cs="Times New Roman"/>
          <w:lang w:val="en-US"/>
        </w:rPr>
        <w:t xml:space="preserve"> </w:t>
      </w:r>
      <w:r w:rsidRPr="00FE24C0">
        <w:rPr>
          <w:rFonts w:ascii="Times New Roman" w:hAnsi="Times New Roman" w:cs="Times New Roman"/>
          <w:i/>
          <w:lang w:val="en-US"/>
        </w:rPr>
        <w:t>ε</w:t>
      </w:r>
      <w:r w:rsidRPr="00FE24C0">
        <w:rPr>
          <w:rFonts w:ascii="Times New Roman" w:hAnsi="Times New Roman" w:cs="Times New Roman"/>
          <w:lang w:val="en-US"/>
        </w:rPr>
        <w:t xml:space="preserve"> is the radiation use efficiency of plants. Although </w:t>
      </w:r>
      <w:r w:rsidRPr="00FE24C0">
        <w:rPr>
          <w:rFonts w:ascii="Times New Roman" w:hAnsi="Times New Roman" w:cs="Times New Roman"/>
          <w:i/>
          <w:lang w:val="en-US"/>
        </w:rPr>
        <w:t>NDVI</w:t>
      </w:r>
      <w:r w:rsidRPr="00FE24C0">
        <w:rPr>
          <w:rFonts w:ascii="Times New Roman" w:hAnsi="Times New Roman" w:cs="Times New Roman"/>
          <w:lang w:val="en-US"/>
        </w:rPr>
        <w:t xml:space="preserve"> (and other vegetation indexes) time series exist from different sensors onboard satellites since </w:t>
      </w:r>
      <w:smartTag w:uri="urn:schemas-microsoft-com:office:smarttags" w:element="metricconverter">
        <w:smartTagPr>
          <w:attr w:name="ProductID" w:val="1980, a"/>
        </w:smartTagPr>
        <w:r w:rsidRPr="00FE24C0">
          <w:rPr>
            <w:rFonts w:ascii="Times New Roman" w:hAnsi="Times New Roman" w:cs="Times New Roman"/>
            <w:lang w:val="en-US"/>
          </w:rPr>
          <w:t>1980, a</w:t>
        </w:r>
      </w:smartTag>
      <w:r w:rsidRPr="00FE24C0">
        <w:rPr>
          <w:rFonts w:ascii="Times New Roman" w:hAnsi="Times New Roman" w:cs="Times New Roman"/>
          <w:lang w:val="en-US"/>
        </w:rPr>
        <w:t xml:space="preserve"> complete and unified time-series up to the present is still lacking, mainly as a consequence of different spatial, temporal and spectral resolutions. </w:t>
      </w:r>
    </w:p>
    <w:p w:rsidR="001777D9" w:rsidRPr="00FE24C0" w:rsidRDefault="001777D9" w:rsidP="001777D9">
      <w:pPr>
        <w:pStyle w:val="parrafosworldbank"/>
        <w:spacing w:line="240" w:lineRule="auto"/>
        <w:ind w:left="0" w:firstLine="0"/>
        <w:rPr>
          <w:rFonts w:ascii="Times New Roman" w:hAnsi="Times New Roman" w:cs="Times New Roman"/>
          <w:lang w:val="en-US"/>
        </w:rPr>
      </w:pPr>
    </w:p>
    <w:p w:rsidR="003C5324" w:rsidRDefault="003C5324" w:rsidP="001777D9">
      <w:r w:rsidRPr="00FE24C0">
        <w:t xml:space="preserve">The link between </w:t>
      </w:r>
      <w:r w:rsidRPr="00FE24C0">
        <w:rPr>
          <w:i/>
        </w:rPr>
        <w:t>NDVI</w:t>
      </w:r>
      <w:r w:rsidRPr="00FE24C0">
        <w:t xml:space="preserve"> obtained from different sensors is not exempt of physical and methodological problems, but can be resolved using detailed satellite information and recently developed computational algorithms. Besides NDVI time-series, a detailed vegetation cover map is a key input to develop livestock insurances in Argentina. Detailed vegetation cover maps for Argentina are also lacking, but can be elaborated with satellite imagery and field surveys.</w:t>
      </w:r>
    </w:p>
    <w:p w:rsidR="000043EB" w:rsidRDefault="000043EB" w:rsidP="001777D9"/>
    <w:p w:rsidR="000043EB" w:rsidRPr="00FE24C0" w:rsidRDefault="000043EB" w:rsidP="000043EB">
      <w:pPr>
        <w:autoSpaceDE w:val="0"/>
        <w:autoSpaceDN w:val="0"/>
        <w:adjustRightInd w:val="0"/>
        <w:rPr>
          <w:szCs w:val="22"/>
        </w:rPr>
      </w:pPr>
      <w:r w:rsidRPr="00FE24C0">
        <w:rPr>
          <w:b/>
          <w:szCs w:val="22"/>
        </w:rPr>
        <w:lastRenderedPageBreak/>
        <w:t>Figure A1</w:t>
      </w:r>
      <w:r w:rsidRPr="00FE24C0">
        <w:rPr>
          <w:szCs w:val="22"/>
        </w:rPr>
        <w:t>. Schematic representation of the general algorithm applied to obtain the aboveground net primary production (ANPP) from spectral information (NDVI), incident photosynthetically active</w:t>
      </w:r>
      <w:r w:rsidRPr="00FE24C0">
        <w:t xml:space="preserve"> </w:t>
      </w:r>
      <w:r w:rsidRPr="00FE24C0">
        <w:rPr>
          <w:szCs w:val="22"/>
        </w:rPr>
        <w:t xml:space="preserve">radiation (PAR) and radiation use efficiency (ε). Black boxes represent satellite derived information whereas red boxes represent information measured/estimated in the field.  </w:t>
      </w:r>
    </w:p>
    <w:p w:rsidR="000043EB" w:rsidRPr="00FE24C0" w:rsidRDefault="000043EB" w:rsidP="000043EB">
      <w:pPr>
        <w:pStyle w:val="parrafosworldbank"/>
        <w:spacing w:after="240" w:line="240" w:lineRule="auto"/>
        <w:ind w:left="0" w:firstLine="0"/>
        <w:rPr>
          <w:rFonts w:ascii="Times New Roman" w:hAnsi="Times New Roman" w:cs="Times New Roman"/>
          <w:lang w:val="en-US"/>
        </w:rPr>
      </w:pPr>
      <w:r w:rsidRPr="00FE24C0">
        <w:rPr>
          <w:rFonts w:ascii="Times New Roman" w:hAnsi="Times New Roman" w:cs="Times New Roman"/>
          <w:noProof/>
          <w:lang w:val="es-AR" w:eastAsia="es-AR"/>
        </w:rPr>
        <w:drawing>
          <wp:inline distT="0" distB="0" distL="0" distR="0">
            <wp:extent cx="3657600" cy="1098550"/>
            <wp:effectExtent l="1905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3657600" cy="1098550"/>
                    </a:xfrm>
                    <a:prstGeom prst="rect">
                      <a:avLst/>
                    </a:prstGeom>
                    <a:noFill/>
                    <a:ln w="9525">
                      <a:noFill/>
                      <a:miter lim="800000"/>
                      <a:headEnd/>
                      <a:tailEnd/>
                    </a:ln>
                  </pic:spPr>
                </pic:pic>
              </a:graphicData>
            </a:graphic>
          </wp:inline>
        </w:drawing>
      </w:r>
    </w:p>
    <w:p w:rsidR="000043EB" w:rsidRPr="00FE24C0" w:rsidRDefault="000043EB" w:rsidP="001777D9"/>
    <w:p w:rsidR="003C5324" w:rsidRPr="00FE24C0" w:rsidRDefault="003C5324" w:rsidP="00FB168B">
      <w:pPr>
        <w:pStyle w:val="Ttulo2"/>
        <w:spacing w:before="0"/>
        <w:rPr>
          <w:szCs w:val="22"/>
          <w:lang w:val="en-US"/>
        </w:rPr>
      </w:pPr>
      <w:r w:rsidRPr="00FE24C0">
        <w:rPr>
          <w:szCs w:val="22"/>
          <w:lang w:val="en-US"/>
        </w:rPr>
        <w:t>Remote Sensing data collection, processing, inter-calibration, and image splicing</w:t>
      </w:r>
    </w:p>
    <w:p w:rsidR="003C5324" w:rsidRPr="00FE24C0" w:rsidRDefault="003C5324" w:rsidP="001777D9">
      <w:r w:rsidRPr="00FE24C0">
        <w:t xml:space="preserve">Although there is spectral information from sensors on board different satellite platforms since 1980, currently we lack a continuous and unified recording of vegetation indices (as NDVI) in terms of temporal and spatial resolution. For this reason, to obtain a continuous series of fPAR (and then ANPP) we need to splice spectral information from two satellite platforms with different characteristics (Table 1).  The LTDR platform (“long term data record”) combines a high temporal resolution with a moderate spatial resolution. This platform also provides quality information that allows estimating the usefulness of the vegetation indices associated. The MODIS platform (“moderate resolution imaging spectroradiometer”) on board the NASA earth observing system (EOS-NASA) combines a high spatial resolution with a moderate temporal resolution, and as LTDR platform, provides additional quality information. </w:t>
      </w:r>
    </w:p>
    <w:p w:rsidR="003C5324" w:rsidRPr="00FE24C0" w:rsidRDefault="003C5324" w:rsidP="00FB168B">
      <w:pPr>
        <w:pStyle w:val="figurasinforworldbank"/>
        <w:spacing w:after="240" w:line="240" w:lineRule="auto"/>
        <w:ind w:left="0"/>
        <w:jc w:val="both"/>
        <w:rPr>
          <w:rFonts w:ascii="Times New Roman" w:hAnsi="Times New Roman" w:cs="Times New Roman"/>
          <w:b w:val="0"/>
          <w:sz w:val="22"/>
          <w:szCs w:val="22"/>
          <w:lang w:val="en-US"/>
        </w:rPr>
      </w:pPr>
      <w:r w:rsidRPr="00FE24C0">
        <w:rPr>
          <w:rFonts w:ascii="Times New Roman" w:hAnsi="Times New Roman" w:cs="Times New Roman"/>
          <w:sz w:val="22"/>
          <w:szCs w:val="22"/>
          <w:lang w:val="en-US"/>
        </w:rPr>
        <w:t xml:space="preserve">Table </w:t>
      </w:r>
      <w:r w:rsidR="00A11EFB" w:rsidRPr="00FE24C0">
        <w:rPr>
          <w:rFonts w:ascii="Times New Roman" w:hAnsi="Times New Roman" w:cs="Times New Roman"/>
          <w:sz w:val="22"/>
          <w:szCs w:val="22"/>
          <w:lang w:val="en-US"/>
        </w:rPr>
        <w:t>A</w:t>
      </w:r>
      <w:r w:rsidRPr="00FE24C0">
        <w:rPr>
          <w:rFonts w:ascii="Times New Roman" w:hAnsi="Times New Roman" w:cs="Times New Roman"/>
          <w:sz w:val="22"/>
          <w:szCs w:val="22"/>
          <w:lang w:val="en-US"/>
        </w:rPr>
        <w:t xml:space="preserve">1. </w:t>
      </w:r>
      <w:r w:rsidRPr="00FE24C0">
        <w:rPr>
          <w:rFonts w:ascii="Times New Roman" w:hAnsi="Times New Roman" w:cs="Times New Roman"/>
          <w:b w:val="0"/>
          <w:sz w:val="22"/>
          <w:szCs w:val="22"/>
          <w:lang w:val="en-US"/>
        </w:rPr>
        <w:t>Satellite platforms used to obtain NDVI series and their most important characteristics</w:t>
      </w:r>
    </w:p>
    <w:tbl>
      <w:tblPr>
        <w:tblW w:w="8460" w:type="dxa"/>
        <w:tblCellSpacing w:w="0" w:type="dxa"/>
        <w:tblCellMar>
          <w:left w:w="0" w:type="dxa"/>
          <w:right w:w="0" w:type="dxa"/>
        </w:tblCellMar>
        <w:tblLook w:val="0000"/>
      </w:tblPr>
      <w:tblGrid>
        <w:gridCol w:w="1846"/>
        <w:gridCol w:w="2174"/>
        <w:gridCol w:w="2340"/>
        <w:gridCol w:w="2100"/>
      </w:tblGrid>
      <w:tr w:rsidR="003C5324" w:rsidRPr="00FE24C0" w:rsidTr="00853A41">
        <w:trPr>
          <w:trHeight w:val="304"/>
          <w:tblCellSpacing w:w="0" w:type="dxa"/>
        </w:trPr>
        <w:tc>
          <w:tcPr>
            <w:tcW w:w="1846" w:type="dxa"/>
            <w:tcBorders>
              <w:top w:val="single" w:sz="4" w:space="0" w:color="auto"/>
              <w:bottom w:val="single" w:sz="4" w:space="0" w:color="auto"/>
            </w:tcBorders>
          </w:tcPr>
          <w:p w:rsidR="003C5324" w:rsidRPr="00FE24C0" w:rsidRDefault="00FB168B" w:rsidP="00FB168B">
            <w:pPr>
              <w:pStyle w:val="NormalWeb"/>
              <w:spacing w:before="0" w:beforeAutospacing="0" w:after="240" w:afterAutospacing="0"/>
              <w:jc w:val="both"/>
              <w:rPr>
                <w:szCs w:val="22"/>
                <w:lang w:val="en-US"/>
              </w:rPr>
            </w:pPr>
            <w:r w:rsidRPr="00FE24C0">
              <w:rPr>
                <w:szCs w:val="22"/>
                <w:lang w:val="en-US"/>
              </w:rPr>
              <w:t>Platform*</w:t>
            </w:r>
          </w:p>
        </w:tc>
        <w:tc>
          <w:tcPr>
            <w:tcW w:w="2174" w:type="dxa"/>
            <w:tcBorders>
              <w:top w:val="single" w:sz="4" w:space="0" w:color="auto"/>
              <w:bottom w:val="single" w:sz="4" w:space="0" w:color="auto"/>
            </w:tcBorders>
          </w:tcPr>
          <w:p w:rsidR="003C5324" w:rsidRPr="00FE24C0" w:rsidRDefault="003C5324" w:rsidP="00FB168B">
            <w:pPr>
              <w:rPr>
                <w:szCs w:val="22"/>
              </w:rPr>
            </w:pPr>
            <w:r w:rsidRPr="00FE24C0">
              <w:rPr>
                <w:szCs w:val="22"/>
              </w:rPr>
              <w:t>Spatial resolution</w:t>
            </w:r>
          </w:p>
        </w:tc>
        <w:tc>
          <w:tcPr>
            <w:tcW w:w="2340" w:type="dxa"/>
            <w:tcBorders>
              <w:top w:val="single" w:sz="4" w:space="0" w:color="auto"/>
              <w:bottom w:val="single" w:sz="4" w:space="0" w:color="auto"/>
            </w:tcBorders>
          </w:tcPr>
          <w:p w:rsidR="003C5324" w:rsidRPr="00FE24C0" w:rsidRDefault="003C5324" w:rsidP="00FB168B">
            <w:pPr>
              <w:rPr>
                <w:szCs w:val="22"/>
              </w:rPr>
            </w:pPr>
            <w:r w:rsidRPr="00FE24C0">
              <w:rPr>
                <w:szCs w:val="22"/>
              </w:rPr>
              <w:t>Temporal resolution</w:t>
            </w:r>
          </w:p>
        </w:tc>
        <w:tc>
          <w:tcPr>
            <w:tcW w:w="2100" w:type="dxa"/>
            <w:tcBorders>
              <w:top w:val="single" w:sz="4" w:space="0" w:color="auto"/>
              <w:bottom w:val="single" w:sz="4" w:space="0" w:color="auto"/>
            </w:tcBorders>
          </w:tcPr>
          <w:p w:rsidR="003C5324" w:rsidRPr="00FE24C0" w:rsidRDefault="003C5324" w:rsidP="00FB168B">
            <w:pPr>
              <w:rPr>
                <w:szCs w:val="22"/>
              </w:rPr>
            </w:pPr>
            <w:r w:rsidRPr="00FE24C0">
              <w:rPr>
                <w:szCs w:val="22"/>
              </w:rPr>
              <w:t>Operation period</w:t>
            </w:r>
          </w:p>
        </w:tc>
      </w:tr>
      <w:tr w:rsidR="003C5324" w:rsidRPr="00FE24C0" w:rsidTr="00853A41">
        <w:trPr>
          <w:trHeight w:val="186"/>
          <w:tblCellSpacing w:w="0" w:type="dxa"/>
        </w:trPr>
        <w:tc>
          <w:tcPr>
            <w:tcW w:w="1846" w:type="dxa"/>
          </w:tcPr>
          <w:p w:rsidR="003C5324" w:rsidRPr="00FE24C0" w:rsidRDefault="003C5324" w:rsidP="00FB168B">
            <w:pPr>
              <w:rPr>
                <w:szCs w:val="22"/>
              </w:rPr>
            </w:pPr>
            <w:r w:rsidRPr="00FE24C0">
              <w:rPr>
                <w:szCs w:val="22"/>
              </w:rPr>
              <w:t>LTDR series 2</w:t>
            </w:r>
          </w:p>
        </w:tc>
        <w:tc>
          <w:tcPr>
            <w:tcW w:w="2174" w:type="dxa"/>
          </w:tcPr>
          <w:p w:rsidR="003C5324" w:rsidRPr="00FE24C0" w:rsidRDefault="003C5324" w:rsidP="00FB168B">
            <w:pPr>
              <w:rPr>
                <w:szCs w:val="22"/>
              </w:rPr>
            </w:pPr>
            <w:r w:rsidRPr="00FE24C0">
              <w:rPr>
                <w:szCs w:val="22"/>
              </w:rPr>
              <w:t>≈2500 has</w:t>
            </w:r>
          </w:p>
        </w:tc>
        <w:tc>
          <w:tcPr>
            <w:tcW w:w="2340" w:type="dxa"/>
          </w:tcPr>
          <w:p w:rsidR="003C5324" w:rsidRPr="00FE24C0" w:rsidRDefault="003C5324" w:rsidP="00FB168B">
            <w:pPr>
              <w:rPr>
                <w:szCs w:val="22"/>
              </w:rPr>
            </w:pPr>
            <w:r w:rsidRPr="00FE24C0">
              <w:rPr>
                <w:szCs w:val="22"/>
              </w:rPr>
              <w:t>Daily</w:t>
            </w:r>
          </w:p>
        </w:tc>
        <w:tc>
          <w:tcPr>
            <w:tcW w:w="2100" w:type="dxa"/>
          </w:tcPr>
          <w:p w:rsidR="003C5324" w:rsidRPr="00FE24C0" w:rsidRDefault="003C5324" w:rsidP="00FB168B">
            <w:pPr>
              <w:rPr>
                <w:szCs w:val="22"/>
              </w:rPr>
            </w:pPr>
            <w:r w:rsidRPr="00FE24C0">
              <w:rPr>
                <w:szCs w:val="22"/>
              </w:rPr>
              <w:t>1981 -1999</w:t>
            </w:r>
          </w:p>
        </w:tc>
      </w:tr>
      <w:tr w:rsidR="003C5324" w:rsidRPr="00FE24C0" w:rsidTr="00853A41">
        <w:trPr>
          <w:trHeight w:val="259"/>
          <w:tblCellSpacing w:w="0" w:type="dxa"/>
        </w:trPr>
        <w:tc>
          <w:tcPr>
            <w:tcW w:w="1846" w:type="dxa"/>
            <w:tcBorders>
              <w:bottom w:val="single" w:sz="4" w:space="0" w:color="auto"/>
            </w:tcBorders>
          </w:tcPr>
          <w:p w:rsidR="003C5324" w:rsidRPr="00FE24C0" w:rsidRDefault="003C5324" w:rsidP="00FB168B">
            <w:pPr>
              <w:rPr>
                <w:szCs w:val="22"/>
              </w:rPr>
            </w:pPr>
            <w:r w:rsidRPr="00FE24C0">
              <w:rPr>
                <w:szCs w:val="22"/>
              </w:rPr>
              <w:t>MODIS</w:t>
            </w:r>
          </w:p>
        </w:tc>
        <w:tc>
          <w:tcPr>
            <w:tcW w:w="2174" w:type="dxa"/>
            <w:tcBorders>
              <w:bottom w:val="single" w:sz="4" w:space="0" w:color="auto"/>
            </w:tcBorders>
          </w:tcPr>
          <w:p w:rsidR="003C5324" w:rsidRPr="00FE24C0" w:rsidRDefault="003C5324" w:rsidP="00FB168B">
            <w:pPr>
              <w:rPr>
                <w:szCs w:val="22"/>
              </w:rPr>
            </w:pPr>
            <w:r w:rsidRPr="00FE24C0">
              <w:rPr>
                <w:szCs w:val="22"/>
              </w:rPr>
              <w:t>5 has</w:t>
            </w:r>
          </w:p>
        </w:tc>
        <w:tc>
          <w:tcPr>
            <w:tcW w:w="2340" w:type="dxa"/>
            <w:tcBorders>
              <w:bottom w:val="single" w:sz="4" w:space="0" w:color="auto"/>
            </w:tcBorders>
          </w:tcPr>
          <w:p w:rsidR="003C5324" w:rsidRPr="00FE24C0" w:rsidRDefault="003C5324" w:rsidP="00FB168B">
            <w:pPr>
              <w:rPr>
                <w:szCs w:val="22"/>
              </w:rPr>
            </w:pPr>
            <w:r w:rsidRPr="00FE24C0">
              <w:rPr>
                <w:szCs w:val="22"/>
              </w:rPr>
              <w:t>16 Days</w:t>
            </w:r>
          </w:p>
        </w:tc>
        <w:tc>
          <w:tcPr>
            <w:tcW w:w="2100" w:type="dxa"/>
            <w:tcBorders>
              <w:bottom w:val="single" w:sz="4" w:space="0" w:color="auto"/>
            </w:tcBorders>
          </w:tcPr>
          <w:p w:rsidR="003C5324" w:rsidRPr="00FE24C0" w:rsidRDefault="003C5324" w:rsidP="00FB168B">
            <w:pPr>
              <w:rPr>
                <w:szCs w:val="22"/>
              </w:rPr>
            </w:pPr>
            <w:r w:rsidRPr="00FE24C0">
              <w:rPr>
                <w:szCs w:val="22"/>
              </w:rPr>
              <w:t>2000 - present</w:t>
            </w:r>
          </w:p>
        </w:tc>
      </w:tr>
    </w:tbl>
    <w:p w:rsidR="003C5324" w:rsidRPr="00FE24C0" w:rsidRDefault="00FB168B" w:rsidP="00FB168B">
      <w:pPr>
        <w:rPr>
          <w:sz w:val="18"/>
          <w:szCs w:val="18"/>
        </w:rPr>
      </w:pPr>
      <w:r w:rsidRPr="00FE24C0">
        <w:rPr>
          <w:sz w:val="18"/>
          <w:szCs w:val="18"/>
        </w:rPr>
        <w:t>Note: * 2 different platforms have had to be spliced together: LTDR (NOAA) 1981- 1999 and MODIS 2000 to present</w:t>
      </w:r>
    </w:p>
    <w:p w:rsidR="003C5324" w:rsidRDefault="003C5324" w:rsidP="001777D9">
      <w:r w:rsidRPr="00FE24C0">
        <w:t>In order to obtain series of vegetation indices with a monthly temporal resolution the procedure of maximum value composite was followed. In the case of LTDR, given that this platform provides a daily image of global coverage, we first clipped the image to the study area, and then applied the technique of 15-day maximum value composites. This technique selects as representative of the fortnight, the maximum NDVI daily value of the period. Then the monthly value was obtained as a weighted average of the fortnightly values.  In turn the MODIS platform provides an image each 15-16 days, for a grid of cells that encompass the whole earth surface. From this grid, we select the cell (“tile”, in the MODIS terminology) that covers Argentina.  In order to obtain monthly values of NDVI from MODIS, the weighted average on the fortnight NDVI values was applied.</w:t>
      </w:r>
    </w:p>
    <w:p w:rsidR="000043EB" w:rsidRPr="00FE24C0" w:rsidRDefault="000043EB" w:rsidP="001777D9"/>
    <w:p w:rsidR="003C5324" w:rsidRPr="00FE24C0" w:rsidRDefault="003C5324" w:rsidP="00FB168B">
      <w:pPr>
        <w:rPr>
          <w:szCs w:val="22"/>
        </w:rPr>
      </w:pPr>
      <w:r w:rsidRPr="00FE24C0">
        <w:rPr>
          <w:b/>
          <w:szCs w:val="22"/>
        </w:rPr>
        <w:lastRenderedPageBreak/>
        <w:t xml:space="preserve">Figure </w:t>
      </w:r>
      <w:r w:rsidR="00A11EFB" w:rsidRPr="00FE24C0">
        <w:rPr>
          <w:b/>
          <w:szCs w:val="22"/>
        </w:rPr>
        <w:t>A</w:t>
      </w:r>
      <w:r w:rsidRPr="00FE24C0">
        <w:rPr>
          <w:b/>
          <w:szCs w:val="22"/>
        </w:rPr>
        <w:t>2</w:t>
      </w:r>
      <w:r w:rsidRPr="00FE24C0">
        <w:rPr>
          <w:szCs w:val="22"/>
        </w:rPr>
        <w:t>. Schematic representation of the obtaining of monthly NDVI values derived from MODIS and LTDR satellite platforms. MVC stands for maximum value composite.</w:t>
      </w:r>
    </w:p>
    <w:p w:rsidR="003C5324" w:rsidRPr="00FE24C0" w:rsidRDefault="00130500" w:rsidP="00FB168B">
      <w:pPr>
        <w:rPr>
          <w:szCs w:val="22"/>
        </w:rPr>
      </w:pPr>
      <w:r w:rsidRPr="00FE24C0">
        <w:rPr>
          <w:noProof/>
          <w:szCs w:val="22"/>
          <w:lang w:val="es-AR" w:eastAsia="es-AR"/>
        </w:rPr>
        <w:drawing>
          <wp:inline distT="0" distB="0" distL="0" distR="0">
            <wp:extent cx="4914457" cy="1946419"/>
            <wp:effectExtent l="19050" t="0" r="443"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4916865" cy="1947373"/>
                    </a:xfrm>
                    <a:prstGeom prst="rect">
                      <a:avLst/>
                    </a:prstGeom>
                    <a:noFill/>
                    <a:ln w="9525">
                      <a:noFill/>
                      <a:miter lim="800000"/>
                      <a:headEnd/>
                      <a:tailEnd/>
                    </a:ln>
                  </pic:spPr>
                </pic:pic>
              </a:graphicData>
            </a:graphic>
          </wp:inline>
        </w:drawing>
      </w:r>
    </w:p>
    <w:p w:rsidR="003C5324" w:rsidRPr="00FE24C0" w:rsidRDefault="003C5324" w:rsidP="00FB168B">
      <w:pPr>
        <w:pStyle w:val="Ttulo3"/>
        <w:spacing w:before="0"/>
        <w:jc w:val="both"/>
        <w:rPr>
          <w:sz w:val="22"/>
          <w:lang w:val="en-US"/>
        </w:rPr>
      </w:pPr>
      <w:r w:rsidRPr="00FE24C0">
        <w:rPr>
          <w:sz w:val="22"/>
          <w:lang w:val="en-US"/>
        </w:rPr>
        <w:t>Evaluation of the differences between monthly values of NDVI from MODIS and LTDR satellite platforms</w:t>
      </w:r>
    </w:p>
    <w:p w:rsidR="003C5324" w:rsidRPr="00FE24C0" w:rsidRDefault="00413B59" w:rsidP="001777D9">
      <w:r w:rsidRPr="00FE24C0">
        <w:t xml:space="preserve">Given the differences in spatial, temporal and spectral resolution, differences of scale between monthly NDVI values from MODIS and LTDR (i.e., differences in the mean and variability between NDVI from MODIS and LTDR for a given spatial location) are expected to occur. </w:t>
      </w:r>
      <w:r w:rsidR="003C5324" w:rsidRPr="00FE24C0">
        <w:t>As each LTDR pixel consists in approximately 400 MODIS pixels, a monthly value of NDVI derived from MODIS corresponds to the mean of the 400 values that fall inside the area corresponding to an LTDR pixel. With this process of spatial degradation a spatially congruent series of NDVI for a given location was obtained. Once having the database of new moderated information, the estimation and comparison of mean and standard deviation of the MODIS NDVI and the LTDR NDVI was conducted (figure 3).</w:t>
      </w:r>
    </w:p>
    <w:p w:rsidR="003C5324" w:rsidRPr="00FE24C0" w:rsidRDefault="003C5324" w:rsidP="00FB168B">
      <w:pPr>
        <w:pStyle w:val="figurasinforworldbank"/>
        <w:spacing w:after="240" w:line="240" w:lineRule="auto"/>
        <w:ind w:left="0"/>
        <w:jc w:val="both"/>
        <w:rPr>
          <w:rFonts w:ascii="Times New Roman" w:hAnsi="Times New Roman" w:cs="Times New Roman"/>
          <w:b w:val="0"/>
          <w:sz w:val="22"/>
          <w:szCs w:val="22"/>
          <w:lang w:val="en-US"/>
        </w:rPr>
      </w:pPr>
      <w:r w:rsidRPr="00FE24C0">
        <w:rPr>
          <w:rFonts w:ascii="Times New Roman" w:hAnsi="Times New Roman" w:cs="Times New Roman"/>
          <w:sz w:val="22"/>
          <w:szCs w:val="22"/>
          <w:lang w:val="en-US"/>
        </w:rPr>
        <w:t xml:space="preserve">Figure </w:t>
      </w:r>
      <w:r w:rsidR="00A11EFB" w:rsidRPr="00FE24C0">
        <w:rPr>
          <w:rFonts w:ascii="Times New Roman" w:hAnsi="Times New Roman" w:cs="Times New Roman"/>
          <w:sz w:val="22"/>
          <w:szCs w:val="22"/>
          <w:lang w:val="en-US"/>
        </w:rPr>
        <w:t>A</w:t>
      </w:r>
      <w:r w:rsidRPr="00FE24C0">
        <w:rPr>
          <w:rFonts w:ascii="Times New Roman" w:hAnsi="Times New Roman" w:cs="Times New Roman"/>
          <w:sz w:val="22"/>
          <w:szCs w:val="22"/>
          <w:lang w:val="en-US"/>
        </w:rPr>
        <w:t>3</w:t>
      </w:r>
      <w:r w:rsidRPr="00FE24C0">
        <w:rPr>
          <w:rFonts w:ascii="Times New Roman" w:hAnsi="Times New Roman" w:cs="Times New Roman"/>
          <w:b w:val="0"/>
          <w:sz w:val="22"/>
          <w:szCs w:val="22"/>
          <w:lang w:val="en-US"/>
        </w:rPr>
        <w:t>. Illustration of the calculation process of the mean and standard deviation for NDVI series of LTDR and MODIS</w:t>
      </w:r>
    </w:p>
    <w:p w:rsidR="003C5324" w:rsidRPr="00FE24C0" w:rsidRDefault="00130500" w:rsidP="00FB168B">
      <w:pPr>
        <w:rPr>
          <w:szCs w:val="22"/>
        </w:rPr>
      </w:pPr>
      <w:r w:rsidRPr="00FE24C0">
        <w:rPr>
          <w:noProof/>
          <w:szCs w:val="22"/>
          <w:lang w:val="es-AR" w:eastAsia="es-AR"/>
        </w:rPr>
        <w:drawing>
          <wp:inline distT="0" distB="0" distL="0" distR="0">
            <wp:extent cx="5180271" cy="2134648"/>
            <wp:effectExtent l="19050" t="19050" r="20379" b="18002"/>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r="4211"/>
                    <a:stretch>
                      <a:fillRect/>
                    </a:stretch>
                  </pic:blipFill>
                  <pic:spPr bwMode="auto">
                    <a:xfrm>
                      <a:off x="0" y="0"/>
                      <a:ext cx="5176413" cy="2133058"/>
                    </a:xfrm>
                    <a:prstGeom prst="rect">
                      <a:avLst/>
                    </a:prstGeom>
                    <a:noFill/>
                    <a:ln w="9525">
                      <a:solidFill>
                        <a:schemeClr val="tx1"/>
                      </a:solidFill>
                      <a:miter lim="800000"/>
                      <a:headEnd/>
                      <a:tailEnd/>
                    </a:ln>
                  </pic:spPr>
                </pic:pic>
              </a:graphicData>
            </a:graphic>
          </wp:inline>
        </w:drawing>
      </w:r>
    </w:p>
    <w:p w:rsidR="003C5324" w:rsidRPr="00FE24C0" w:rsidRDefault="00FB168B" w:rsidP="001777D9">
      <w:r w:rsidRPr="00FE24C0">
        <w:t>T</w:t>
      </w:r>
      <w:r w:rsidR="003C5324" w:rsidRPr="00FE24C0">
        <w:t xml:space="preserve">he comparison of means of the series (MODIS NDVI and the LTDR NDVI </w:t>
      </w:r>
      <w:r w:rsidR="00DA24F0" w:rsidRPr="00FE24C0">
        <w:t>were</w:t>
      </w:r>
      <w:r w:rsidR="003C5324" w:rsidRPr="00FE24C0">
        <w:t xml:space="preserve"> computed as follow:</w:t>
      </w:r>
    </w:p>
    <w:p w:rsidR="003C5324" w:rsidRPr="00FE24C0" w:rsidRDefault="003C5324" w:rsidP="00FB168B">
      <w:pPr>
        <w:pStyle w:val="parrafosworldbank"/>
        <w:spacing w:after="240" w:line="240" w:lineRule="auto"/>
        <w:ind w:left="0" w:firstLine="0"/>
        <w:rPr>
          <w:rFonts w:ascii="Times New Roman" w:hAnsi="Times New Roman" w:cs="Times New Roman"/>
          <w:lang w:val="en-US"/>
        </w:rPr>
      </w:pPr>
      <w:r w:rsidRPr="00FE24C0">
        <w:rPr>
          <w:rFonts w:ascii="Times New Roman" w:hAnsi="Times New Roman" w:cs="Times New Roman"/>
          <w:position w:val="-12"/>
          <w:lang w:val="en-US"/>
        </w:rPr>
        <w:object w:dxaOrig="3760" w:dyaOrig="360">
          <v:shape id="_x0000_i1027" type="#_x0000_t75" style="width:251.25pt;height:24pt" o:ole="">
            <v:imagedata r:id="rId62" o:title=""/>
          </v:shape>
          <o:OLEObject Type="Embed" ProgID="Equation.DSMT4" ShapeID="_x0000_i1027" DrawAspect="Content" ObjectID="_1419536166" r:id="rId63"/>
        </w:object>
      </w:r>
      <w:r w:rsidRPr="00FE24C0">
        <w:rPr>
          <w:rFonts w:ascii="Times New Roman" w:hAnsi="Times New Roman" w:cs="Times New Roman"/>
          <w:lang w:val="en-US"/>
        </w:rPr>
        <w:t xml:space="preserve">  </w:t>
      </w:r>
      <w:r w:rsidRPr="00FE24C0">
        <w:rPr>
          <w:rFonts w:ascii="Times New Roman" w:hAnsi="Times New Roman" w:cs="Times New Roman"/>
          <w:lang w:val="en-US"/>
        </w:rPr>
        <w:tab/>
      </w:r>
      <w:r w:rsidRPr="00FE24C0">
        <w:rPr>
          <w:rFonts w:ascii="Times New Roman" w:hAnsi="Times New Roman" w:cs="Times New Roman"/>
          <w:lang w:val="en-US"/>
        </w:rPr>
        <w:tab/>
      </w:r>
      <w:r w:rsidRPr="00FE24C0">
        <w:rPr>
          <w:rFonts w:ascii="Times New Roman" w:hAnsi="Times New Roman" w:cs="Times New Roman"/>
          <w:lang w:val="en-US"/>
        </w:rPr>
        <w:tab/>
      </w:r>
      <w:r w:rsidRPr="00FE24C0">
        <w:rPr>
          <w:rFonts w:ascii="Times New Roman" w:hAnsi="Times New Roman" w:cs="Times New Roman"/>
          <w:lang w:val="en-US"/>
        </w:rPr>
        <w:tab/>
        <w:t xml:space="preserve">(3) </w:t>
      </w:r>
    </w:p>
    <w:p w:rsidR="003C5324" w:rsidRPr="00FE24C0" w:rsidRDefault="003C5324" w:rsidP="00853A41">
      <w:pPr>
        <w:pStyle w:val="parrafosworldbank"/>
        <w:spacing w:after="120" w:line="240" w:lineRule="auto"/>
        <w:ind w:left="0" w:firstLine="0"/>
        <w:rPr>
          <w:rFonts w:ascii="Times New Roman" w:hAnsi="Times New Roman" w:cs="Times New Roman"/>
          <w:sz w:val="20"/>
          <w:lang w:val="en-US"/>
        </w:rPr>
      </w:pPr>
      <w:r w:rsidRPr="00FE24C0">
        <w:rPr>
          <w:rFonts w:ascii="Times New Roman" w:hAnsi="Times New Roman" w:cs="Times New Roman"/>
          <w:sz w:val="20"/>
          <w:lang w:val="en-US"/>
        </w:rPr>
        <w:lastRenderedPageBreak/>
        <w:t>Where:</w:t>
      </w:r>
    </w:p>
    <w:p w:rsidR="003C5324" w:rsidRPr="00FE24C0" w:rsidRDefault="000043EB" w:rsidP="00853A41">
      <w:pPr>
        <w:pStyle w:val="parrafosworldbank"/>
        <w:spacing w:after="120" w:line="240" w:lineRule="auto"/>
        <w:ind w:left="0" w:firstLine="0"/>
        <w:rPr>
          <w:rFonts w:ascii="Times New Roman" w:hAnsi="Times New Roman" w:cs="Times New Roman"/>
          <w:sz w:val="20"/>
          <w:lang w:val="en-US"/>
        </w:rPr>
      </w:pPr>
      <w:r w:rsidRPr="00FE24C0">
        <w:rPr>
          <w:rFonts w:ascii="Times New Roman" w:hAnsi="Times New Roman" w:cs="Times New Roman"/>
          <w:position w:val="-18"/>
          <w:sz w:val="20"/>
          <w:lang w:val="en-US"/>
        </w:rPr>
        <w:object w:dxaOrig="1200" w:dyaOrig="460">
          <v:shape id="_x0000_i1028" type="#_x0000_t75" style="width:48pt;height:17.25pt" o:ole="">
            <v:imagedata r:id="rId64" o:title=""/>
          </v:shape>
          <o:OLEObject Type="Embed" ProgID="Equation.3" ShapeID="_x0000_i1028" DrawAspect="Content" ObjectID="_1419536167" r:id="rId65"/>
        </w:object>
      </w:r>
      <w:r w:rsidR="003C5324" w:rsidRPr="00FE24C0">
        <w:rPr>
          <w:rFonts w:ascii="Times New Roman" w:hAnsi="Times New Roman" w:cs="Times New Roman"/>
          <w:sz w:val="20"/>
          <w:lang w:val="en-US"/>
        </w:rPr>
        <w:t>= means of MODIS NDVI series.</w:t>
      </w:r>
    </w:p>
    <w:p w:rsidR="003C5324" w:rsidRPr="00FE24C0" w:rsidRDefault="000043EB" w:rsidP="00853A41">
      <w:pPr>
        <w:pStyle w:val="parrafosworldbank"/>
        <w:spacing w:after="120" w:line="240" w:lineRule="auto"/>
        <w:ind w:left="0" w:firstLine="0"/>
        <w:rPr>
          <w:rFonts w:ascii="Times New Roman" w:hAnsi="Times New Roman" w:cs="Times New Roman"/>
          <w:sz w:val="20"/>
          <w:lang w:val="en-US"/>
        </w:rPr>
      </w:pPr>
      <w:r w:rsidRPr="00FE24C0">
        <w:rPr>
          <w:rFonts w:ascii="Times New Roman" w:hAnsi="Times New Roman" w:cs="Times New Roman"/>
          <w:position w:val="-18"/>
          <w:sz w:val="20"/>
          <w:lang w:val="en-US"/>
        </w:rPr>
        <w:object w:dxaOrig="1100" w:dyaOrig="460">
          <v:shape id="_x0000_i1029" type="#_x0000_t75" style="width:44.25pt;height:17.25pt" o:ole="">
            <v:imagedata r:id="rId66" o:title=""/>
          </v:shape>
          <o:OLEObject Type="Embed" ProgID="Equation.3" ShapeID="_x0000_i1029" DrawAspect="Content" ObjectID="_1419536168" r:id="rId67"/>
        </w:object>
      </w:r>
      <w:r w:rsidR="003C5324" w:rsidRPr="00FE24C0">
        <w:rPr>
          <w:rFonts w:ascii="Times New Roman" w:hAnsi="Times New Roman" w:cs="Times New Roman"/>
          <w:sz w:val="20"/>
          <w:lang w:val="en-US"/>
        </w:rPr>
        <w:t>= means of LTDR NDVI series.</w:t>
      </w:r>
    </w:p>
    <w:p w:rsidR="003C5324" w:rsidRPr="00FE24C0" w:rsidRDefault="003C5324" w:rsidP="00FB168B">
      <w:pPr>
        <w:pStyle w:val="parrafosworldbank"/>
        <w:spacing w:after="240" w:line="240" w:lineRule="auto"/>
        <w:ind w:left="0" w:firstLine="0"/>
        <w:rPr>
          <w:rFonts w:ascii="Times New Roman" w:hAnsi="Times New Roman" w:cs="Times New Roman"/>
          <w:lang w:val="en-US"/>
        </w:rPr>
      </w:pPr>
      <w:r w:rsidRPr="00FE24C0">
        <w:rPr>
          <w:rFonts w:ascii="Times New Roman" w:hAnsi="Times New Roman" w:cs="Times New Roman"/>
          <w:lang w:val="en-US"/>
        </w:rPr>
        <w:t>For comparing the variabilit</w:t>
      </w:r>
      <w:r w:rsidR="00FB168B" w:rsidRPr="00FE24C0">
        <w:rPr>
          <w:rFonts w:ascii="Times New Roman" w:hAnsi="Times New Roman" w:cs="Times New Roman"/>
          <w:lang w:val="en-US"/>
        </w:rPr>
        <w:t>y</w:t>
      </w:r>
      <w:r w:rsidRPr="00FE24C0">
        <w:rPr>
          <w:rFonts w:ascii="Times New Roman" w:hAnsi="Times New Roman" w:cs="Times New Roman"/>
          <w:lang w:val="en-US"/>
        </w:rPr>
        <w:t xml:space="preserve"> among the series, it was needed to calculate the quotient between the standard deviations of each one:</w:t>
      </w:r>
    </w:p>
    <w:p w:rsidR="003C5324" w:rsidRPr="00FE24C0" w:rsidRDefault="000043EB" w:rsidP="000043EB">
      <w:pPr>
        <w:pStyle w:val="parrafosworldbank"/>
        <w:spacing w:after="240" w:line="240" w:lineRule="auto"/>
        <w:ind w:left="0" w:firstLine="0"/>
        <w:jc w:val="center"/>
        <w:rPr>
          <w:rFonts w:ascii="Times New Roman" w:hAnsi="Times New Roman" w:cs="Times New Roman"/>
          <w:lang w:val="en-US"/>
        </w:rPr>
      </w:pPr>
      <w:r w:rsidRPr="00FE24C0">
        <w:rPr>
          <w:rFonts w:ascii="Times New Roman" w:hAnsi="Times New Roman" w:cs="Times New Roman"/>
          <w:position w:val="-12"/>
          <w:lang w:val="en-US"/>
        </w:rPr>
        <w:object w:dxaOrig="2240" w:dyaOrig="360">
          <v:shape id="_x0000_i1030" type="#_x0000_t75" style="width:138.75pt;height:22.5pt" o:ole="">
            <v:imagedata r:id="rId68" o:title=""/>
          </v:shape>
          <o:OLEObject Type="Embed" ProgID="Equation.DSMT4" ShapeID="_x0000_i1030" DrawAspect="Content" ObjectID="_1419536169" r:id="rId69"/>
        </w:object>
      </w:r>
      <w:r w:rsidR="003C5324" w:rsidRPr="00FE24C0">
        <w:rPr>
          <w:rFonts w:ascii="Times New Roman" w:hAnsi="Times New Roman" w:cs="Times New Roman"/>
          <w:lang w:val="en-US"/>
        </w:rPr>
        <w:tab/>
      </w:r>
      <w:r w:rsidR="003C5324" w:rsidRPr="00FE24C0">
        <w:rPr>
          <w:rFonts w:ascii="Times New Roman" w:hAnsi="Times New Roman" w:cs="Times New Roman"/>
          <w:lang w:val="en-US"/>
        </w:rPr>
        <w:tab/>
      </w:r>
      <w:r w:rsidR="003C5324" w:rsidRPr="00FE24C0">
        <w:rPr>
          <w:rFonts w:ascii="Times New Roman" w:hAnsi="Times New Roman" w:cs="Times New Roman"/>
          <w:lang w:val="en-US"/>
        </w:rPr>
        <w:tab/>
      </w:r>
      <w:r w:rsidR="003C5324" w:rsidRPr="00FE24C0">
        <w:rPr>
          <w:rFonts w:ascii="Times New Roman" w:hAnsi="Times New Roman" w:cs="Times New Roman"/>
          <w:lang w:val="en-US"/>
        </w:rPr>
        <w:tab/>
        <w:t>(4)</w:t>
      </w:r>
    </w:p>
    <w:p w:rsidR="003C5324" w:rsidRPr="00FE24C0" w:rsidRDefault="003C5324" w:rsidP="001777D9">
      <w:r w:rsidRPr="00FE24C0">
        <w:t>Both means and standard deviation were calculated for the 22100 pixels covering the area, and then categorized their values to generate a series of maps and statistics that summarize the spatial patterns of the match/mismatch between NDVI from MODIS and LTDR, measured in scale [0-10000]. In the case of differences between the means, the categories encompasses values from -4250 (</w:t>
      </w:r>
      <w:r w:rsidRPr="00FE24C0">
        <w:rPr>
          <w:i/>
        </w:rPr>
        <w:t>μ</w:t>
      </w:r>
      <w:r w:rsidRPr="00FE24C0">
        <w:rPr>
          <w:i/>
          <w:vertAlign w:val="subscript"/>
        </w:rPr>
        <w:t>NDVI-LTDR</w:t>
      </w:r>
      <w:r w:rsidRPr="00FE24C0">
        <w:rPr>
          <w:i/>
        </w:rPr>
        <w:t>&gt; μ</w:t>
      </w:r>
      <w:r w:rsidRPr="00FE24C0">
        <w:rPr>
          <w:i/>
          <w:vertAlign w:val="subscript"/>
        </w:rPr>
        <w:t>NDVI-MODIS</w:t>
      </w:r>
      <w:r w:rsidRPr="00FE24C0">
        <w:t>) to 3000 (</w:t>
      </w:r>
      <w:r w:rsidRPr="00FE24C0">
        <w:rPr>
          <w:i/>
        </w:rPr>
        <w:t>μ</w:t>
      </w:r>
      <w:r w:rsidRPr="00FE24C0">
        <w:rPr>
          <w:i/>
          <w:vertAlign w:val="subscript"/>
        </w:rPr>
        <w:t>NDVI-LTDR</w:t>
      </w:r>
      <w:r w:rsidRPr="00FE24C0">
        <w:rPr>
          <w:i/>
        </w:rPr>
        <w:t>&lt; μ</w:t>
      </w:r>
      <w:r w:rsidRPr="00FE24C0">
        <w:rPr>
          <w:i/>
          <w:vertAlign w:val="subscript"/>
        </w:rPr>
        <w:t>NDVI-MODIS</w:t>
      </w:r>
      <w:r w:rsidRPr="00FE24C0">
        <w:t xml:space="preserve">) at intervals of 500. For the case of the quotient between standard deviations, the categories ranges from </w:t>
      </w:r>
      <w:r w:rsidRPr="00FE24C0">
        <w:rPr>
          <w:i/>
        </w:rPr>
        <w:t>σ</w:t>
      </w:r>
      <w:r w:rsidRPr="00FE24C0">
        <w:rPr>
          <w:i/>
          <w:vertAlign w:val="subscript"/>
        </w:rPr>
        <w:t>NDVI-MODIS</w:t>
      </w:r>
      <w:r w:rsidRPr="00FE24C0">
        <w:t>/</w:t>
      </w:r>
      <w:r w:rsidRPr="00FE24C0">
        <w:rPr>
          <w:i/>
        </w:rPr>
        <w:t>σ</w:t>
      </w:r>
      <w:r w:rsidRPr="00FE24C0">
        <w:rPr>
          <w:i/>
          <w:vertAlign w:val="subscript"/>
        </w:rPr>
        <w:t>NDVI-LTDR</w:t>
      </w:r>
      <w:r w:rsidRPr="00FE24C0">
        <w:rPr>
          <w:i/>
        </w:rPr>
        <w:t>&lt;=</w:t>
      </w:r>
      <w:r w:rsidRPr="00FE24C0">
        <w:t xml:space="preserve">0.25 (which implies that the standard deviation of NDVI series from LTDR is at least four times bigger than NDVI from MODIS) to </w:t>
      </w:r>
      <w:r w:rsidRPr="00FE24C0">
        <w:rPr>
          <w:i/>
        </w:rPr>
        <w:t>σ</w:t>
      </w:r>
      <w:r w:rsidRPr="00FE24C0">
        <w:rPr>
          <w:i/>
          <w:vertAlign w:val="subscript"/>
        </w:rPr>
        <w:t>NDVI-MODIS</w:t>
      </w:r>
      <w:r w:rsidRPr="00FE24C0">
        <w:t>/</w:t>
      </w:r>
      <w:r w:rsidRPr="00FE24C0">
        <w:rPr>
          <w:i/>
        </w:rPr>
        <w:t>σ</w:t>
      </w:r>
      <w:r w:rsidRPr="00FE24C0">
        <w:rPr>
          <w:i/>
          <w:vertAlign w:val="subscript"/>
        </w:rPr>
        <w:t xml:space="preserve">NDVI-LTDR </w:t>
      </w:r>
      <w:r w:rsidRPr="00FE24C0">
        <w:rPr>
          <w:i/>
        </w:rPr>
        <w:t xml:space="preserve">&gt;= </w:t>
      </w:r>
      <w:r w:rsidRPr="00FE24C0">
        <w:t>4 (which implies that the standard deviation of NDVI series from MODIS is at least four times bigger than NDVI from LTDR).</w:t>
      </w:r>
    </w:p>
    <w:p w:rsidR="003C5324" w:rsidRPr="00FE24C0" w:rsidRDefault="003C5324" w:rsidP="001777D9">
      <w:proofErr w:type="gramStart"/>
      <w:r w:rsidRPr="00FE24C0">
        <w:t xml:space="preserve">As figure 3 indicates, most of the pixels that encompass the area (almost an 89%) exhibit differences in mean NDVI of less than |250| (-250&lt; </w:t>
      </w:r>
      <w:r w:rsidRPr="00FE24C0">
        <w:rPr>
          <w:i/>
        </w:rPr>
        <w:t>μ</w:t>
      </w:r>
      <w:r w:rsidRPr="00FE24C0">
        <w:rPr>
          <w:i/>
          <w:vertAlign w:val="subscript"/>
        </w:rPr>
        <w:t>NDVI-MODIS</w:t>
      </w:r>
      <w:r w:rsidRPr="00FE24C0">
        <w:rPr>
          <w:i/>
        </w:rPr>
        <w:t xml:space="preserve"> - μ</w:t>
      </w:r>
      <w:r w:rsidRPr="00FE24C0">
        <w:rPr>
          <w:i/>
          <w:vertAlign w:val="subscript"/>
        </w:rPr>
        <w:t xml:space="preserve">NDVI-LTDR </w:t>
      </w:r>
      <w:r w:rsidRPr="00FE24C0">
        <w:t>&lt;250).</w:t>
      </w:r>
      <w:proofErr w:type="gramEnd"/>
      <w:r w:rsidRPr="00FE24C0">
        <w:t xml:space="preserve"> For the quotient of standard deviations, almost an 80% of the pixels showed values around 1 (the classes corresponding to 0.67&lt;</w:t>
      </w:r>
      <w:r w:rsidRPr="00FE24C0">
        <w:rPr>
          <w:i/>
        </w:rPr>
        <w:t>σ</w:t>
      </w:r>
      <w:r w:rsidRPr="00FE24C0">
        <w:rPr>
          <w:i/>
          <w:vertAlign w:val="subscript"/>
        </w:rPr>
        <w:t>NDVI-MODIS</w:t>
      </w:r>
      <w:r w:rsidRPr="00FE24C0">
        <w:t>/</w:t>
      </w:r>
      <w:r w:rsidRPr="00FE24C0">
        <w:rPr>
          <w:i/>
        </w:rPr>
        <w:t>σ</w:t>
      </w:r>
      <w:r w:rsidRPr="00FE24C0">
        <w:rPr>
          <w:i/>
          <w:vertAlign w:val="subscript"/>
        </w:rPr>
        <w:t xml:space="preserve">NDVI-LTDR </w:t>
      </w:r>
      <w:r w:rsidRPr="00FE24C0">
        <w:rPr>
          <w:i/>
        </w:rPr>
        <w:t>&lt;</w:t>
      </w:r>
      <w:r w:rsidRPr="00FE24C0">
        <w:t xml:space="preserve">1.5, figure 5). Based on this information it can be concluded that most of the pixels did not show great differences in the means and variability’s of the NDVI series derived from MODIS and LTDR. </w:t>
      </w:r>
    </w:p>
    <w:p w:rsidR="003C5324" w:rsidRPr="00FE24C0" w:rsidRDefault="003C5324" w:rsidP="001777D9">
      <w:r w:rsidRPr="00FE24C0">
        <w:t>When analyzing jointly the differences in means and the differences in standard deviations (as quotients), it was found that more than 70% of the pixels were classified jointly in the classes that represent the smallest differences in mean and standard deviations between the MODIS NDVI and the LTDR NDVI series.</w:t>
      </w:r>
    </w:p>
    <w:p w:rsidR="000043EB" w:rsidRPr="00FE24C0" w:rsidRDefault="000043EB" w:rsidP="000043EB">
      <w:r w:rsidRPr="00FE24C0">
        <w:t xml:space="preserve">Despite the fact that there were minor differences among the series considered, LART-FAUBA decided to re-scale the LTDR NDVI because there were 20% of the pixels that showed quotients greater than 1.5 or less than 0.67. LART-FAUBA re-scaled the LTDR derived NDVI series with the standard deviation of the MODIS derived NDVI series, </w:t>
      </w:r>
      <w:r w:rsidRPr="00FE24C0">
        <w:rPr>
          <w:i/>
        </w:rPr>
        <w:t>σ</w:t>
      </w:r>
      <w:r w:rsidRPr="00FE24C0">
        <w:rPr>
          <w:i/>
          <w:vertAlign w:val="subscript"/>
        </w:rPr>
        <w:t>NDVI-MODIS</w:t>
      </w:r>
      <w:r w:rsidRPr="00FE24C0">
        <w:t>, according to:</w:t>
      </w:r>
    </w:p>
    <w:p w:rsidR="000043EB" w:rsidRPr="00FE24C0" w:rsidRDefault="000043EB" w:rsidP="000043EB">
      <w:pPr>
        <w:pStyle w:val="parrafosworldbank"/>
        <w:spacing w:after="240" w:line="240" w:lineRule="auto"/>
        <w:ind w:left="0"/>
        <w:rPr>
          <w:rFonts w:ascii="Times New Roman" w:hAnsi="Times New Roman" w:cs="Times New Roman"/>
          <w:lang w:val="en-US"/>
        </w:rPr>
      </w:pPr>
      <w:r w:rsidRPr="00662EB0">
        <w:rPr>
          <w:position w:val="-14"/>
        </w:rPr>
        <w:object w:dxaOrig="3860" w:dyaOrig="400">
          <v:shape id="_x0000_i1031" type="#_x0000_t75" style="width:248.25pt;height:24.75pt" o:ole="" o:allowoverlap="f">
            <v:imagedata r:id="rId70" o:title=""/>
          </v:shape>
          <o:OLEObject Type="Embed" ProgID="Equation.DSMT4" ShapeID="_x0000_i1031" DrawAspect="Content" ObjectID="_1419536170" r:id="rId71"/>
        </w:object>
      </w:r>
      <w:r w:rsidRPr="00FE24C0">
        <w:rPr>
          <w:rFonts w:ascii="Times New Roman" w:hAnsi="Times New Roman" w:cs="Times New Roman"/>
          <w:b/>
          <w:lang w:val="en-US"/>
        </w:rPr>
        <w:tab/>
      </w:r>
      <w:r w:rsidRPr="00FE24C0">
        <w:rPr>
          <w:rFonts w:ascii="Times New Roman" w:hAnsi="Times New Roman" w:cs="Times New Roman"/>
          <w:lang w:val="en-US"/>
        </w:rPr>
        <w:t>(5)</w:t>
      </w:r>
    </w:p>
    <w:p w:rsidR="000043EB" w:rsidRPr="00FE24C0" w:rsidRDefault="000043EB" w:rsidP="000043EB">
      <w:r w:rsidRPr="00FE24C0">
        <w:t xml:space="preserve">Where </w:t>
      </w:r>
      <w:r w:rsidRPr="00FE24C0">
        <w:rPr>
          <w:i/>
        </w:rPr>
        <w:t>NDVI</w:t>
      </w:r>
      <w:r w:rsidRPr="00FE24C0">
        <w:rPr>
          <w:i/>
          <w:vertAlign w:val="superscript"/>
        </w:rPr>
        <w:t>M</w:t>
      </w:r>
      <w:r w:rsidRPr="00FE24C0">
        <w:rPr>
          <w:i/>
          <w:vertAlign w:val="subscript"/>
        </w:rPr>
        <w:t>LTDR</w:t>
      </w:r>
      <w:r w:rsidRPr="00FE24C0">
        <w:rPr>
          <w:i/>
        </w:rPr>
        <w:t xml:space="preserve"> </w:t>
      </w:r>
      <w:r w:rsidRPr="00FE24C0">
        <w:t xml:space="preserve">is the value of the NDVI from LTDR re-scaled according to the standard deviation of the NDVI series derived from MODIS platform and </w:t>
      </w:r>
      <w:r w:rsidRPr="00FE24C0">
        <w:rPr>
          <w:i/>
        </w:rPr>
        <w:t>z</w:t>
      </w:r>
      <w:r w:rsidRPr="00FE24C0">
        <w:rPr>
          <w:i/>
          <w:vertAlign w:val="subscript"/>
        </w:rPr>
        <w:t xml:space="preserve">LTDR </w:t>
      </w:r>
      <w:r w:rsidRPr="00FE24C0">
        <w:t>is the standardized value of NDVI derived from LTDR platform.</w:t>
      </w:r>
    </w:p>
    <w:p w:rsidR="000043EB" w:rsidRPr="000043EB" w:rsidRDefault="000043EB" w:rsidP="000043EB">
      <w:pPr>
        <w:pStyle w:val="parrafosworldbank"/>
        <w:spacing w:after="240" w:line="240" w:lineRule="auto"/>
        <w:ind w:left="0" w:firstLine="0"/>
        <w:jc w:val="center"/>
        <w:rPr>
          <w:rFonts w:ascii="Times New Roman" w:hAnsi="Times New Roman" w:cs="Times New Roman"/>
          <w:lang w:val="en-US"/>
        </w:rPr>
      </w:pPr>
      <w:r w:rsidRPr="00662EB0">
        <w:rPr>
          <w:position w:val="-34"/>
        </w:rPr>
        <w:object w:dxaOrig="2820" w:dyaOrig="760">
          <v:shape id="_x0000_i1032" type="#_x0000_t75" style="width:168.75pt;height:44.25pt" o:ole="" o:allowoverlap="f">
            <v:imagedata r:id="rId72" o:title=""/>
          </v:shape>
          <o:OLEObject Type="Embed" ProgID="Equation.DSMT4" ShapeID="_x0000_i1032" DrawAspect="Content" ObjectID="_1419536171" r:id="rId73"/>
        </w:object>
      </w:r>
      <w:r>
        <w:tab/>
      </w:r>
      <w:r w:rsidRPr="00FE24C0">
        <w:t xml:space="preserve"> (6)</w:t>
      </w:r>
    </w:p>
    <w:p w:rsidR="000043EB" w:rsidRPr="00FE24C0" w:rsidRDefault="000043EB" w:rsidP="000043EB">
      <w:r w:rsidRPr="00FE24C0">
        <w:t xml:space="preserve">With the values of </w:t>
      </w:r>
      <w:r w:rsidRPr="00FE24C0">
        <w:rPr>
          <w:i/>
        </w:rPr>
        <w:t>NDVI</w:t>
      </w:r>
      <w:r w:rsidRPr="00FE24C0">
        <w:rPr>
          <w:i/>
          <w:vertAlign w:val="superscript"/>
        </w:rPr>
        <w:t>M</w:t>
      </w:r>
      <w:r w:rsidRPr="00FE24C0">
        <w:rPr>
          <w:i/>
          <w:vertAlign w:val="subscript"/>
        </w:rPr>
        <w:t>LTDR</w:t>
      </w:r>
      <w:r w:rsidRPr="00FE24C0">
        <w:rPr>
          <w:i/>
        </w:rPr>
        <w:t xml:space="preserve"> </w:t>
      </w:r>
      <w:r w:rsidRPr="00FE24C0">
        <w:t xml:space="preserve">and </w:t>
      </w:r>
      <w:r w:rsidRPr="00FE24C0">
        <w:rPr>
          <w:i/>
        </w:rPr>
        <w:t>NDVI</w:t>
      </w:r>
      <w:r w:rsidRPr="00FE24C0">
        <w:rPr>
          <w:i/>
          <w:vertAlign w:val="subscript"/>
        </w:rPr>
        <w:t>MODIS</w:t>
      </w:r>
      <w:proofErr w:type="gramStart"/>
      <w:r w:rsidRPr="00FE24C0">
        <w:rPr>
          <w:i/>
          <w:vertAlign w:val="subscript"/>
        </w:rPr>
        <w:t xml:space="preserve">, </w:t>
      </w:r>
      <w:r w:rsidRPr="00FE24C0">
        <w:t xml:space="preserve"> LART</w:t>
      </w:r>
      <w:proofErr w:type="gramEnd"/>
      <w:r w:rsidRPr="00FE24C0">
        <w:t xml:space="preserve">-FAUBA proceeded to calibrate the relationship between NDVI and fPAR. </w:t>
      </w:r>
    </w:p>
    <w:p w:rsidR="003C5324" w:rsidRPr="00FE24C0" w:rsidRDefault="003C5324" w:rsidP="00FB168B">
      <w:pPr>
        <w:pStyle w:val="figurasinforworldbank"/>
        <w:spacing w:after="240" w:line="240" w:lineRule="auto"/>
        <w:ind w:left="0"/>
        <w:jc w:val="both"/>
        <w:rPr>
          <w:rFonts w:ascii="Times New Roman" w:hAnsi="Times New Roman" w:cs="Times New Roman"/>
          <w:b w:val="0"/>
          <w:sz w:val="22"/>
          <w:szCs w:val="22"/>
          <w:lang w:val="en-US"/>
        </w:rPr>
      </w:pPr>
      <w:r w:rsidRPr="00FE24C0">
        <w:rPr>
          <w:rFonts w:ascii="Times New Roman" w:hAnsi="Times New Roman" w:cs="Times New Roman"/>
          <w:sz w:val="22"/>
          <w:szCs w:val="22"/>
          <w:lang w:val="en-US"/>
        </w:rPr>
        <w:lastRenderedPageBreak/>
        <w:t xml:space="preserve">Figure </w:t>
      </w:r>
      <w:r w:rsidR="00A11EFB" w:rsidRPr="00FE24C0">
        <w:rPr>
          <w:rFonts w:ascii="Times New Roman" w:hAnsi="Times New Roman" w:cs="Times New Roman"/>
          <w:sz w:val="22"/>
          <w:szCs w:val="22"/>
          <w:lang w:val="en-US"/>
        </w:rPr>
        <w:t>A</w:t>
      </w:r>
      <w:r w:rsidRPr="00FE24C0">
        <w:rPr>
          <w:rFonts w:ascii="Times New Roman" w:hAnsi="Times New Roman" w:cs="Times New Roman"/>
          <w:sz w:val="22"/>
          <w:szCs w:val="22"/>
          <w:lang w:val="en-US"/>
        </w:rPr>
        <w:t>4.</w:t>
      </w:r>
      <w:r w:rsidRPr="00FE24C0">
        <w:rPr>
          <w:rFonts w:ascii="Times New Roman" w:hAnsi="Times New Roman" w:cs="Times New Roman"/>
          <w:b w:val="0"/>
          <w:sz w:val="22"/>
          <w:szCs w:val="22"/>
          <w:lang w:val="en-US"/>
        </w:rPr>
        <w:t xml:space="preserve"> Frequency distribution of differences between the mean of NDVI series from MODIS platform and LTDR platform, from the database generated for Chubut, Rio Negro and SW of Buenos Aires. </w:t>
      </w:r>
    </w:p>
    <w:p w:rsidR="003C5324" w:rsidRPr="00FE24C0" w:rsidRDefault="00130500" w:rsidP="00FB168B">
      <w:pPr>
        <w:rPr>
          <w:szCs w:val="22"/>
        </w:rPr>
      </w:pPr>
      <w:r w:rsidRPr="00FE24C0">
        <w:rPr>
          <w:noProof/>
          <w:szCs w:val="22"/>
          <w:lang w:val="es-AR" w:eastAsia="es-AR"/>
        </w:rPr>
        <w:drawing>
          <wp:inline distT="0" distB="0" distL="0" distR="0">
            <wp:extent cx="5257800" cy="262890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b="6441"/>
                    <a:stretch>
                      <a:fillRect/>
                    </a:stretch>
                  </pic:blipFill>
                  <pic:spPr bwMode="auto">
                    <a:xfrm>
                      <a:off x="0" y="0"/>
                      <a:ext cx="5257800" cy="2628900"/>
                    </a:xfrm>
                    <a:prstGeom prst="rect">
                      <a:avLst/>
                    </a:prstGeom>
                    <a:noFill/>
                    <a:ln w="9525">
                      <a:noFill/>
                      <a:miter lim="800000"/>
                      <a:headEnd/>
                      <a:tailEnd/>
                    </a:ln>
                  </pic:spPr>
                </pic:pic>
              </a:graphicData>
            </a:graphic>
          </wp:inline>
        </w:drawing>
      </w:r>
    </w:p>
    <w:p w:rsidR="003C5324" w:rsidRPr="00FE24C0" w:rsidRDefault="003C5324" w:rsidP="00FB168B">
      <w:pPr>
        <w:pStyle w:val="figurasinforworldbank"/>
        <w:spacing w:after="240" w:line="240" w:lineRule="auto"/>
        <w:ind w:left="0"/>
        <w:jc w:val="both"/>
        <w:rPr>
          <w:rFonts w:ascii="Times New Roman" w:hAnsi="Times New Roman" w:cs="Times New Roman"/>
          <w:b w:val="0"/>
          <w:sz w:val="22"/>
          <w:szCs w:val="22"/>
          <w:lang w:val="en-US"/>
        </w:rPr>
      </w:pPr>
      <w:r w:rsidRPr="00FE24C0">
        <w:rPr>
          <w:rFonts w:ascii="Times New Roman" w:hAnsi="Times New Roman" w:cs="Times New Roman"/>
          <w:sz w:val="22"/>
          <w:szCs w:val="22"/>
          <w:lang w:val="en-US"/>
        </w:rPr>
        <w:t xml:space="preserve">Figure </w:t>
      </w:r>
      <w:r w:rsidR="00A11EFB" w:rsidRPr="00FE24C0">
        <w:rPr>
          <w:rFonts w:ascii="Times New Roman" w:hAnsi="Times New Roman" w:cs="Times New Roman"/>
          <w:sz w:val="22"/>
          <w:szCs w:val="22"/>
          <w:lang w:val="en-US"/>
        </w:rPr>
        <w:t>A</w:t>
      </w:r>
      <w:r w:rsidRPr="00FE24C0">
        <w:rPr>
          <w:rFonts w:ascii="Times New Roman" w:hAnsi="Times New Roman" w:cs="Times New Roman"/>
          <w:sz w:val="22"/>
          <w:szCs w:val="22"/>
          <w:lang w:val="en-US"/>
        </w:rPr>
        <w:t>5.</w:t>
      </w:r>
      <w:r w:rsidRPr="00FE24C0">
        <w:rPr>
          <w:rFonts w:ascii="Times New Roman" w:hAnsi="Times New Roman" w:cs="Times New Roman"/>
          <w:b w:val="0"/>
          <w:sz w:val="22"/>
          <w:szCs w:val="22"/>
          <w:lang w:val="en-US"/>
        </w:rPr>
        <w:t xml:space="preserve"> Frequency distribution of quotients between the standard deviations of NDVI series from MODIS platform and LTDR platform from the database generated for Chubut, Rio Negro and SW of Buenos Aires. </w:t>
      </w:r>
    </w:p>
    <w:p w:rsidR="003C5324" w:rsidRPr="00FE24C0" w:rsidRDefault="00130500" w:rsidP="00FB168B">
      <w:pPr>
        <w:rPr>
          <w:szCs w:val="22"/>
        </w:rPr>
      </w:pPr>
      <w:r w:rsidRPr="00FE24C0">
        <w:rPr>
          <w:noProof/>
          <w:szCs w:val="22"/>
          <w:lang w:val="es-AR" w:eastAsia="es-AR"/>
        </w:rPr>
        <w:drawing>
          <wp:inline distT="0" distB="0" distL="0" distR="0">
            <wp:extent cx="5257800" cy="2628900"/>
            <wp:effectExtent l="1905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b="4347"/>
                    <a:stretch>
                      <a:fillRect/>
                    </a:stretch>
                  </pic:blipFill>
                  <pic:spPr bwMode="auto">
                    <a:xfrm>
                      <a:off x="0" y="0"/>
                      <a:ext cx="5257800" cy="2628900"/>
                    </a:xfrm>
                    <a:prstGeom prst="rect">
                      <a:avLst/>
                    </a:prstGeom>
                    <a:noFill/>
                    <a:ln w="9525">
                      <a:noFill/>
                      <a:miter lim="800000"/>
                      <a:headEnd/>
                      <a:tailEnd/>
                    </a:ln>
                  </pic:spPr>
                </pic:pic>
              </a:graphicData>
            </a:graphic>
          </wp:inline>
        </w:drawing>
      </w:r>
    </w:p>
    <w:p w:rsidR="003C5324" w:rsidRPr="00FE24C0" w:rsidRDefault="003C5324" w:rsidP="00FB168B">
      <w:pPr>
        <w:rPr>
          <w:b/>
        </w:rPr>
      </w:pPr>
      <w:proofErr w:type="gramStart"/>
      <w:r w:rsidRPr="00FE24C0">
        <w:rPr>
          <w:b/>
        </w:rPr>
        <w:t>Calibration of the relationship between NDVI and fPAR and Database Development.</w:t>
      </w:r>
      <w:proofErr w:type="gramEnd"/>
    </w:p>
    <w:p w:rsidR="003C5324" w:rsidRPr="00FE24C0" w:rsidRDefault="003C5324" w:rsidP="001777D9">
      <w:r w:rsidRPr="00FE24C0">
        <w:t xml:space="preserve">The process of calibration of the relationship between NDVI and fPAR is described in figure 5. To estimate fPAR based on NDVI, LART-FAUBA used an empirical approximation that assumes a linear relationship between NDVI and fPAR. In order to find the extremes of this relationship </w:t>
      </w:r>
      <w:r w:rsidR="005F000A" w:rsidRPr="00FE24C0">
        <w:t xml:space="preserve">960 </w:t>
      </w:r>
      <w:r w:rsidRPr="00FE24C0">
        <w:t xml:space="preserve">LTDR pixels (and the corresponding ≈400x513 MODIS pixels) were selected in salt works (where it was assumed that the 10 pixels with the smallest means represents an fPAR of 1%) and </w:t>
      </w:r>
      <w:r w:rsidR="005F000A" w:rsidRPr="00FE24C0">
        <w:lastRenderedPageBreak/>
        <w:t xml:space="preserve">1871 </w:t>
      </w:r>
      <w:r w:rsidRPr="00FE24C0">
        <w:t xml:space="preserve">LTDR pixels in forests (where it was assumed that the 10 pixels with the greatest means represents an fPAR of 95%, figure 6). </w:t>
      </w:r>
    </w:p>
    <w:p w:rsidR="003C5324" w:rsidRPr="00FE24C0" w:rsidRDefault="003C5324" w:rsidP="001777D9">
      <w:r w:rsidRPr="00FE24C0">
        <w:t>From the</w:t>
      </w:r>
      <w:r w:rsidR="005F000A" w:rsidRPr="00FE24C0">
        <w:t>se</w:t>
      </w:r>
      <w:r w:rsidRPr="00FE24C0">
        <w:t xml:space="preserve"> “extreme” pixels (</w:t>
      </w:r>
      <w:r w:rsidR="00BA38A5" w:rsidRPr="00FE24C0">
        <w:t>those located in</w:t>
      </w:r>
      <w:r w:rsidRPr="00FE24C0">
        <w:t xml:space="preserve"> salt works and </w:t>
      </w:r>
      <w:r w:rsidR="00DC7767" w:rsidRPr="00FE24C0">
        <w:t xml:space="preserve">those </w:t>
      </w:r>
      <w:r w:rsidR="00BA38A5" w:rsidRPr="00FE24C0">
        <w:t>in</w:t>
      </w:r>
      <w:r w:rsidRPr="00FE24C0">
        <w:t xml:space="preserve"> forests</w:t>
      </w:r>
      <w:r w:rsidR="00BA38A5" w:rsidRPr="00FE24C0">
        <w:t>, respectively</w:t>
      </w:r>
      <w:r w:rsidRPr="00FE24C0">
        <w:t>) the monthly NDVI series derived from LTDR and MODIS were extracted, and the distribution of frequencies of monthly NDVI values for salt works and forests was constructed.  Then</w:t>
      </w:r>
      <w:r w:rsidR="00DA24F0" w:rsidRPr="00FE24C0">
        <w:t>, the</w:t>
      </w:r>
      <w:r w:rsidRPr="00FE24C0">
        <w:t xml:space="preserve"> 2</w:t>
      </w:r>
      <w:r w:rsidRPr="00FE24C0">
        <w:rPr>
          <w:vertAlign w:val="superscript"/>
        </w:rPr>
        <w:t>nd</w:t>
      </w:r>
      <w:r w:rsidRPr="00FE24C0">
        <w:t xml:space="preserve"> percentile of the distribution frequency of the monthly NDVI values was </w:t>
      </w:r>
      <w:r w:rsidR="00DA24F0" w:rsidRPr="00FE24C0">
        <w:t>associated with</w:t>
      </w:r>
      <w:r w:rsidRPr="00FE24C0">
        <w:t xml:space="preserve"> the pixels from salt works with fPAR of 1%, and the 98</w:t>
      </w:r>
      <w:r w:rsidRPr="00FE24C0">
        <w:rPr>
          <w:vertAlign w:val="superscript"/>
        </w:rPr>
        <w:t>th</w:t>
      </w:r>
      <w:r w:rsidRPr="00FE24C0">
        <w:t xml:space="preserve"> percentile of the distribution frequency of monthly NDVI values from the pixels from forests with fPAR of 95%.  </w:t>
      </w:r>
    </w:p>
    <w:p w:rsidR="003C5324" w:rsidRPr="00FE24C0" w:rsidRDefault="003C5324" w:rsidP="006C5382">
      <w:pPr>
        <w:pStyle w:val="parrafosworldbank"/>
        <w:spacing w:after="240" w:line="240" w:lineRule="auto"/>
        <w:ind w:left="0" w:firstLine="0"/>
        <w:rPr>
          <w:rFonts w:ascii="Times New Roman" w:hAnsi="Times New Roman" w:cs="Times New Roman"/>
          <w:lang w:val="en-US"/>
        </w:rPr>
      </w:pPr>
      <w:r w:rsidRPr="00FE24C0">
        <w:rPr>
          <w:rFonts w:ascii="Times New Roman" w:hAnsi="Times New Roman" w:cs="Times New Roman"/>
          <w:b/>
          <w:lang w:val="en-US"/>
        </w:rPr>
        <w:t xml:space="preserve">Figure </w:t>
      </w:r>
      <w:r w:rsidR="00A11EFB" w:rsidRPr="00FE24C0">
        <w:rPr>
          <w:rFonts w:ascii="Times New Roman" w:hAnsi="Times New Roman" w:cs="Times New Roman"/>
          <w:b/>
          <w:lang w:val="en-US"/>
        </w:rPr>
        <w:t>A</w:t>
      </w:r>
      <w:r w:rsidRPr="00FE24C0">
        <w:rPr>
          <w:rFonts w:ascii="Times New Roman" w:hAnsi="Times New Roman" w:cs="Times New Roman"/>
          <w:b/>
          <w:lang w:val="en-US"/>
        </w:rPr>
        <w:t>6.</w:t>
      </w:r>
      <w:r w:rsidRPr="00FE24C0">
        <w:rPr>
          <w:rFonts w:ascii="Times New Roman" w:hAnsi="Times New Roman" w:cs="Times New Roman"/>
          <w:lang w:val="en-US"/>
        </w:rPr>
        <w:t xml:space="preserve">  Schematic representation of the obtaining of monthly fPAR values from monthly NDVI.</w:t>
      </w:r>
      <w:r w:rsidR="00130500" w:rsidRPr="00FE24C0">
        <w:rPr>
          <w:rFonts w:ascii="Times New Roman" w:hAnsi="Times New Roman" w:cs="Times New Roman"/>
          <w:noProof/>
          <w:lang w:val="es-AR" w:eastAsia="es-AR"/>
        </w:rPr>
        <w:drawing>
          <wp:inline distT="0" distB="0" distL="0" distR="0">
            <wp:extent cx="5244066" cy="1650085"/>
            <wp:effectExtent l="1905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5247381" cy="1651128"/>
                    </a:xfrm>
                    <a:prstGeom prst="rect">
                      <a:avLst/>
                    </a:prstGeom>
                    <a:noFill/>
                    <a:ln w="9525">
                      <a:noFill/>
                      <a:miter lim="800000"/>
                      <a:headEnd/>
                      <a:tailEnd/>
                    </a:ln>
                  </pic:spPr>
                </pic:pic>
              </a:graphicData>
            </a:graphic>
          </wp:inline>
        </w:drawing>
      </w:r>
    </w:p>
    <w:p w:rsidR="003C5324" w:rsidRPr="00FE24C0" w:rsidRDefault="003C5324" w:rsidP="001777D9">
      <w:r w:rsidRPr="00FE24C0">
        <w:t xml:space="preserve">With the extreme points of the relationship NDVI-fPAR (for both LTDR and MODIS) a truncated linear relationship was obtained; which allowed us to translate the vegetation indexes (NDVI) into the fraction of photosynthetically active radiation absorbed by the vegetation (fPAR). The truncated linear functions and the associated equations are showed in figure 7. The monthly fPAR values from MODIS NDVI values (i.e. at MODIS spatial scale), where then degraded to LTDR spatial scale. The degradation basically consisted in averaging the approximately 400 monthly fPAR values obtained from MODIS NDVI, which encompass the LTDR pixel. </w:t>
      </w:r>
    </w:p>
    <w:p w:rsidR="003C5324" w:rsidRPr="00FE24C0" w:rsidRDefault="003C5324" w:rsidP="000043EB">
      <w:pPr>
        <w:pStyle w:val="parrafosworldbank"/>
        <w:spacing w:line="240" w:lineRule="auto"/>
        <w:ind w:left="0" w:firstLine="0"/>
        <w:rPr>
          <w:rFonts w:ascii="Times New Roman" w:hAnsi="Times New Roman" w:cs="Times New Roman"/>
          <w:lang w:val="en-US"/>
        </w:rPr>
      </w:pPr>
      <w:r w:rsidRPr="00FE24C0">
        <w:rPr>
          <w:rFonts w:ascii="Times New Roman" w:hAnsi="Times New Roman" w:cs="Times New Roman"/>
          <w:b/>
          <w:lang w:val="en-US"/>
        </w:rPr>
        <w:t xml:space="preserve">Figure </w:t>
      </w:r>
      <w:r w:rsidR="00A11EFB" w:rsidRPr="00FE24C0">
        <w:rPr>
          <w:rFonts w:ascii="Times New Roman" w:hAnsi="Times New Roman" w:cs="Times New Roman"/>
          <w:b/>
          <w:lang w:val="en-US"/>
        </w:rPr>
        <w:t>A</w:t>
      </w:r>
      <w:r w:rsidRPr="00FE24C0">
        <w:rPr>
          <w:rFonts w:ascii="Times New Roman" w:hAnsi="Times New Roman" w:cs="Times New Roman"/>
          <w:b/>
          <w:lang w:val="en-US"/>
        </w:rPr>
        <w:t>7.</w:t>
      </w:r>
      <w:r w:rsidRPr="00FE24C0">
        <w:rPr>
          <w:rFonts w:ascii="Times New Roman" w:hAnsi="Times New Roman" w:cs="Times New Roman"/>
          <w:lang w:val="en-US"/>
        </w:rPr>
        <w:t xml:space="preserve"> </w:t>
      </w:r>
      <w:proofErr w:type="gramStart"/>
      <w:r w:rsidRPr="00FE24C0">
        <w:rPr>
          <w:rFonts w:ascii="Times New Roman" w:hAnsi="Times New Roman" w:cs="Times New Roman"/>
          <w:lang w:val="en-US"/>
        </w:rPr>
        <w:t>Schematic representation of the calibration of the relationship between NDVI and fPAR.</w:t>
      </w:r>
      <w:proofErr w:type="gramEnd"/>
    </w:p>
    <w:p w:rsidR="003C5324" w:rsidRPr="00FE24C0" w:rsidRDefault="00130500" w:rsidP="00FB168B">
      <w:pPr>
        <w:pStyle w:val="parrafosworldbank"/>
        <w:spacing w:after="240" w:line="240" w:lineRule="auto"/>
        <w:ind w:left="0"/>
        <w:rPr>
          <w:rFonts w:ascii="Times New Roman" w:hAnsi="Times New Roman" w:cs="Times New Roman"/>
          <w:lang w:val="en-US"/>
        </w:rPr>
      </w:pPr>
      <w:r w:rsidRPr="00FE24C0">
        <w:rPr>
          <w:rFonts w:ascii="Times New Roman" w:hAnsi="Times New Roman" w:cs="Times New Roman"/>
          <w:noProof/>
          <w:lang w:val="es-AR" w:eastAsia="es-AR"/>
        </w:rPr>
        <w:drawing>
          <wp:inline distT="0" distB="0" distL="0" distR="0">
            <wp:extent cx="2320389" cy="2684615"/>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2319361" cy="2683426"/>
                    </a:xfrm>
                    <a:prstGeom prst="rect">
                      <a:avLst/>
                    </a:prstGeom>
                    <a:noFill/>
                    <a:ln w="9525">
                      <a:noFill/>
                      <a:miter lim="800000"/>
                      <a:headEnd/>
                      <a:tailEnd/>
                    </a:ln>
                  </pic:spPr>
                </pic:pic>
              </a:graphicData>
            </a:graphic>
          </wp:inline>
        </w:drawing>
      </w:r>
    </w:p>
    <w:p w:rsidR="003C5324" w:rsidRPr="00FE24C0" w:rsidRDefault="003C5324" w:rsidP="00FB168B">
      <w:pPr>
        <w:pStyle w:val="parrafosworldbank"/>
        <w:spacing w:after="240" w:line="240" w:lineRule="auto"/>
        <w:ind w:left="0" w:firstLine="0"/>
        <w:rPr>
          <w:rFonts w:ascii="Times New Roman" w:hAnsi="Times New Roman" w:cs="Times New Roman"/>
          <w:lang w:val="en-US"/>
        </w:rPr>
      </w:pPr>
      <w:r w:rsidRPr="00FE24C0">
        <w:rPr>
          <w:rFonts w:ascii="Times New Roman" w:hAnsi="Times New Roman" w:cs="Times New Roman"/>
          <w:b/>
          <w:lang w:val="en-US"/>
        </w:rPr>
        <w:lastRenderedPageBreak/>
        <w:t xml:space="preserve">Figure </w:t>
      </w:r>
      <w:r w:rsidR="00A11EFB" w:rsidRPr="00FE24C0">
        <w:rPr>
          <w:rFonts w:ascii="Times New Roman" w:hAnsi="Times New Roman" w:cs="Times New Roman"/>
          <w:b/>
          <w:lang w:val="en-US"/>
        </w:rPr>
        <w:t>A</w:t>
      </w:r>
      <w:r w:rsidRPr="00FE24C0">
        <w:rPr>
          <w:rFonts w:ascii="Times New Roman" w:hAnsi="Times New Roman" w:cs="Times New Roman"/>
          <w:b/>
          <w:lang w:val="en-US"/>
        </w:rPr>
        <w:t>8.</w:t>
      </w:r>
      <w:r w:rsidRPr="00FE24C0">
        <w:rPr>
          <w:rFonts w:ascii="Times New Roman" w:hAnsi="Times New Roman" w:cs="Times New Roman"/>
          <w:lang w:val="en-US"/>
        </w:rPr>
        <w:t xml:space="preserve"> </w:t>
      </w:r>
      <w:r w:rsidR="00BA38A5" w:rsidRPr="00FE24C0">
        <w:rPr>
          <w:rFonts w:ascii="Times New Roman" w:hAnsi="Times New Roman" w:cs="Times New Roman"/>
          <w:lang w:val="en-US"/>
        </w:rPr>
        <w:t>Schematic presentation and functions derived</w:t>
      </w:r>
      <w:r w:rsidRPr="00FE24C0">
        <w:rPr>
          <w:rFonts w:ascii="Times New Roman" w:hAnsi="Times New Roman" w:cs="Times New Roman"/>
          <w:lang w:val="en-US"/>
        </w:rPr>
        <w:t xml:space="preserve"> from the calibration of the relationship between NDVI and fPAR.</w:t>
      </w:r>
    </w:p>
    <w:p w:rsidR="003C5324" w:rsidRPr="00FE24C0" w:rsidRDefault="00130500" w:rsidP="00FB168B">
      <w:pPr>
        <w:pStyle w:val="parrafosworldbank"/>
        <w:spacing w:after="240" w:line="240" w:lineRule="auto"/>
        <w:ind w:left="0"/>
        <w:rPr>
          <w:rFonts w:ascii="Times New Roman" w:hAnsi="Times New Roman" w:cs="Times New Roman"/>
          <w:lang w:val="en-US"/>
        </w:rPr>
      </w:pPr>
      <w:r w:rsidRPr="00FE24C0">
        <w:rPr>
          <w:rFonts w:ascii="Times New Roman" w:hAnsi="Times New Roman" w:cs="Times New Roman"/>
          <w:noProof/>
          <w:lang w:val="es-AR" w:eastAsia="es-AR"/>
        </w:rPr>
        <w:drawing>
          <wp:inline distT="0" distB="0" distL="0" distR="0">
            <wp:extent cx="4455160" cy="1477645"/>
            <wp:effectExtent l="1905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srcRect/>
                    <a:stretch>
                      <a:fillRect/>
                    </a:stretch>
                  </pic:blipFill>
                  <pic:spPr bwMode="auto">
                    <a:xfrm>
                      <a:off x="0" y="0"/>
                      <a:ext cx="4455160" cy="1477645"/>
                    </a:xfrm>
                    <a:prstGeom prst="rect">
                      <a:avLst/>
                    </a:prstGeom>
                    <a:noFill/>
                    <a:ln w="9525">
                      <a:noFill/>
                      <a:miter lim="800000"/>
                      <a:headEnd/>
                      <a:tailEnd/>
                    </a:ln>
                  </pic:spPr>
                </pic:pic>
              </a:graphicData>
            </a:graphic>
          </wp:inline>
        </w:drawing>
      </w:r>
    </w:p>
    <w:p w:rsidR="003C5324" w:rsidRPr="00FE24C0" w:rsidRDefault="00130500" w:rsidP="00FB168B">
      <w:pPr>
        <w:pStyle w:val="parrafosworldbank"/>
        <w:spacing w:after="240" w:line="240" w:lineRule="auto"/>
        <w:ind w:left="0"/>
        <w:rPr>
          <w:rFonts w:ascii="Times New Roman" w:hAnsi="Times New Roman" w:cs="Times New Roman"/>
          <w:lang w:val="en-US"/>
        </w:rPr>
      </w:pPr>
      <w:r w:rsidRPr="00FE24C0">
        <w:rPr>
          <w:rFonts w:ascii="Times New Roman" w:hAnsi="Times New Roman" w:cs="Times New Roman"/>
          <w:noProof/>
          <w:lang w:val="es-AR" w:eastAsia="es-AR"/>
        </w:rPr>
        <w:drawing>
          <wp:inline distT="0" distB="0" distL="0" distR="0">
            <wp:extent cx="4380865" cy="1052830"/>
            <wp:effectExtent l="1905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4380865" cy="1052830"/>
                    </a:xfrm>
                    <a:prstGeom prst="rect">
                      <a:avLst/>
                    </a:prstGeom>
                    <a:noFill/>
                    <a:ln w="9525">
                      <a:noFill/>
                      <a:miter lim="800000"/>
                      <a:headEnd/>
                      <a:tailEnd/>
                    </a:ln>
                  </pic:spPr>
                </pic:pic>
              </a:graphicData>
            </a:graphic>
          </wp:inline>
        </w:drawing>
      </w:r>
    </w:p>
    <w:p w:rsidR="003C5324" w:rsidRPr="00FE24C0" w:rsidRDefault="00582F8F" w:rsidP="00FB168B">
      <w:pPr>
        <w:pStyle w:val="parrafosworldbank"/>
        <w:spacing w:after="240" w:line="240" w:lineRule="auto"/>
        <w:ind w:left="0"/>
        <w:rPr>
          <w:rFonts w:ascii="Times New Roman" w:hAnsi="Times New Roman" w:cs="Times New Roman"/>
          <w:lang w:val="en-US"/>
        </w:rPr>
      </w:pPr>
      <w:r w:rsidRPr="00FE24C0">
        <w:rPr>
          <w:rFonts w:ascii="Times New Roman" w:hAnsi="Times New Roman" w:cs="Times New Roman"/>
          <w:lang w:val="en-US"/>
        </w:rPr>
        <w:t>Source: LART-FAUBA.</w:t>
      </w:r>
    </w:p>
    <w:p w:rsidR="003C5324" w:rsidRPr="00FE24C0" w:rsidRDefault="00BA38A5" w:rsidP="00BA38A5">
      <w:pPr>
        <w:pStyle w:val="parrafosworldbank"/>
        <w:spacing w:after="240" w:line="240" w:lineRule="auto"/>
        <w:ind w:left="0" w:firstLine="0"/>
        <w:rPr>
          <w:rFonts w:ascii="Times New Roman" w:hAnsi="Times New Roman" w:cs="Times New Roman"/>
          <w:b/>
          <w:lang w:val="en-US"/>
        </w:rPr>
      </w:pPr>
      <w:r w:rsidRPr="00FE24C0">
        <w:rPr>
          <w:rFonts w:ascii="Times New Roman" w:hAnsi="Times New Roman" w:cs="Times New Roman"/>
          <w:b/>
          <w:lang w:val="en-US"/>
        </w:rPr>
        <w:t>Normalization of fPAR values obtained from different sensors.</w:t>
      </w:r>
    </w:p>
    <w:p w:rsidR="00BA38A5" w:rsidRPr="00FE24C0" w:rsidRDefault="00BA38A5" w:rsidP="001777D9">
      <w:r w:rsidRPr="00FE24C0">
        <w:t xml:space="preserve">Due to </w:t>
      </w:r>
      <w:r w:rsidR="00DC7767" w:rsidRPr="00FE24C0">
        <w:t xml:space="preserve">the fact that </w:t>
      </w:r>
      <w:r w:rsidRPr="00FE24C0">
        <w:t>there were some scale incompatibilities (mean and standard deviation)</w:t>
      </w:r>
      <w:r w:rsidR="002A4028" w:rsidRPr="00FE24C0">
        <w:t xml:space="preserve"> between the fPAR series</w:t>
      </w:r>
      <w:r w:rsidRPr="00FE24C0">
        <w:t xml:space="preserve">, </w:t>
      </w:r>
      <w:r w:rsidR="002A4028" w:rsidRPr="00FE24C0">
        <w:t>they</w:t>
      </w:r>
      <w:r w:rsidRPr="00FE24C0">
        <w:t xml:space="preserve"> were normalized. </w:t>
      </w:r>
      <w:r w:rsidR="002A4028" w:rsidRPr="00FE24C0">
        <w:t>This process consists in subtracting the mean of each fPAR series, and then divides the result</w:t>
      </w:r>
      <w:r w:rsidR="00F559A0" w:rsidRPr="00FE24C0">
        <w:t xml:space="preserve"> by its standard deviation.</w:t>
      </w:r>
      <w:r w:rsidR="002A4028" w:rsidRPr="00FE24C0">
        <w:t xml:space="preserve"> Finally, anomalous observations and outliers were removed from the normalized series. All values which differed by +/- 2.5 standard deviations of the mean (which is zero after the normalization) of the normalized series were removed from the series as they were considered outliers and anomalous observations.</w:t>
      </w:r>
    </w:p>
    <w:p w:rsidR="000043EB" w:rsidRPr="00FE24C0" w:rsidRDefault="000043EB" w:rsidP="000043EB">
      <w:pPr>
        <w:pStyle w:val="parrafosworldbank"/>
        <w:spacing w:after="240" w:line="240" w:lineRule="auto"/>
        <w:ind w:left="0" w:firstLine="0"/>
        <w:rPr>
          <w:rFonts w:ascii="Times New Roman" w:hAnsi="Times New Roman" w:cs="Times New Roman"/>
          <w:b/>
          <w:lang w:val="en-US"/>
        </w:rPr>
      </w:pPr>
      <w:proofErr w:type="gramStart"/>
      <w:r w:rsidRPr="00FE24C0">
        <w:rPr>
          <w:rFonts w:ascii="Times New Roman" w:hAnsi="Times New Roman" w:cs="Times New Roman"/>
          <w:b/>
          <w:lang w:val="en-US"/>
        </w:rPr>
        <w:t>Characterization of vegetative coverage in the SWBA region.</w:t>
      </w:r>
      <w:proofErr w:type="gramEnd"/>
    </w:p>
    <w:p w:rsidR="000043EB" w:rsidRDefault="000043EB" w:rsidP="000043EB">
      <w:r w:rsidRPr="00FE24C0">
        <w:t>The vegetative coverage classification was conducted based on MODIS-NDVI imagery for the period 2006-2007</w:t>
      </w:r>
      <w:r w:rsidRPr="00FE24C0">
        <w:rPr>
          <w:rStyle w:val="Refdenotaalpie"/>
        </w:rPr>
        <w:footnoteReference w:id="37"/>
      </w:r>
      <w:r w:rsidRPr="00FE24C0">
        <w:t xml:space="preserve"> (two dates per month were observed for the conduction of this analysis). MODIS-NDVI imagery has a spatial and temporal resolution of 250 x 250m and 16 days, respectively. The combination of two cluster statistical methods (supervised and non-supervised) was performed by specialists from LART-FAUBA in order to get for each date different vegetation classes. Then, these classes were grouped on new and bigger classes based on their similarities. A statistical software package (Infostat) was used in order to perform a hierarchical analysis which consists on forming groups of classes. The final output of this analysis is a land use map with three classes: forage resources, non-forage resources (which includes crops, forestry etc), and unclassified (urban land use, roads etc). The accuracy of this land use characterization was around 81%. The level of accuracy was obtained by comparing outputs of the statistical cluster methods with field available data of the region.</w:t>
      </w:r>
    </w:p>
    <w:p w:rsidR="00F559A0" w:rsidRPr="00FE24C0" w:rsidRDefault="00F559A0" w:rsidP="000043EB">
      <w:pPr>
        <w:spacing w:after="0"/>
      </w:pPr>
      <w:r w:rsidRPr="00FE24C0">
        <w:rPr>
          <w:b/>
        </w:rPr>
        <w:lastRenderedPageBreak/>
        <w:t xml:space="preserve">Figure A9. </w:t>
      </w:r>
      <w:r w:rsidRPr="00FE24C0">
        <w:t>Example of the fPAR normalization output of NDVI-LTDR (blue) and E</w:t>
      </w:r>
      <w:r w:rsidR="002A4028" w:rsidRPr="00FE24C0">
        <w:t xml:space="preserve">nhanced </w:t>
      </w:r>
      <w:r w:rsidRPr="00FE24C0">
        <w:t>V</w:t>
      </w:r>
      <w:r w:rsidR="002A4028" w:rsidRPr="00FE24C0">
        <w:t xml:space="preserve">egetation </w:t>
      </w:r>
      <w:r w:rsidRPr="00FE24C0">
        <w:t>I</w:t>
      </w:r>
      <w:r w:rsidR="002A4028" w:rsidRPr="00FE24C0">
        <w:t>ndex</w:t>
      </w:r>
      <w:r w:rsidRPr="00FE24C0">
        <w:t>-MODIS (red).</w:t>
      </w:r>
    </w:p>
    <w:p w:rsidR="00F559A0" w:rsidRPr="00FE24C0" w:rsidRDefault="00130500" w:rsidP="000043EB">
      <w:pPr>
        <w:spacing w:after="0"/>
      </w:pPr>
      <w:r w:rsidRPr="00FE24C0">
        <w:rPr>
          <w:noProof/>
          <w:lang w:val="es-AR" w:eastAsia="es-AR"/>
        </w:rPr>
        <w:drawing>
          <wp:inline distT="0" distB="0" distL="0" distR="0">
            <wp:extent cx="3455670" cy="35941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srcRect/>
                    <a:stretch>
                      <a:fillRect/>
                    </a:stretch>
                  </pic:blipFill>
                  <pic:spPr bwMode="auto">
                    <a:xfrm>
                      <a:off x="0" y="0"/>
                      <a:ext cx="3455670" cy="3594100"/>
                    </a:xfrm>
                    <a:prstGeom prst="rect">
                      <a:avLst/>
                    </a:prstGeom>
                    <a:noFill/>
                    <a:ln w="9525">
                      <a:noFill/>
                      <a:miter lim="800000"/>
                      <a:headEnd/>
                      <a:tailEnd/>
                    </a:ln>
                  </pic:spPr>
                </pic:pic>
              </a:graphicData>
            </a:graphic>
          </wp:inline>
        </w:drawing>
      </w:r>
    </w:p>
    <w:p w:rsidR="00F559A0" w:rsidRPr="00B5523D" w:rsidRDefault="00F559A0" w:rsidP="00BA38A5">
      <w:pPr>
        <w:pStyle w:val="parrafosworldbank"/>
        <w:spacing w:after="240" w:line="240" w:lineRule="auto"/>
        <w:ind w:left="0" w:firstLine="0"/>
        <w:rPr>
          <w:rFonts w:ascii="Times New Roman" w:hAnsi="Times New Roman" w:cs="Times New Roman"/>
          <w:lang w:val="fr-FR"/>
        </w:rPr>
      </w:pPr>
      <w:r w:rsidRPr="00B5523D">
        <w:rPr>
          <w:rFonts w:ascii="Times New Roman" w:hAnsi="Times New Roman" w:cs="Times New Roman"/>
          <w:lang w:val="fr-FR"/>
        </w:rPr>
        <w:t>Source: LART-FAUBA.</w:t>
      </w:r>
    </w:p>
    <w:p w:rsidR="002D5577" w:rsidRPr="00FE24C0" w:rsidRDefault="00F559A0" w:rsidP="000043EB">
      <w:pPr>
        <w:pStyle w:val="parrafosworldbank"/>
        <w:spacing w:line="240" w:lineRule="auto"/>
        <w:ind w:left="0" w:firstLine="0"/>
        <w:rPr>
          <w:rFonts w:ascii="Times New Roman" w:hAnsi="Times New Roman" w:cs="Times New Roman"/>
          <w:lang w:val="en-US"/>
        </w:rPr>
      </w:pPr>
      <w:r w:rsidRPr="00B5523D">
        <w:rPr>
          <w:rFonts w:ascii="Times New Roman" w:hAnsi="Times New Roman" w:cs="Times New Roman"/>
          <w:b/>
          <w:lang w:val="fr-FR"/>
        </w:rPr>
        <w:t>Figure A10</w:t>
      </w:r>
      <w:r w:rsidR="00A11EFB" w:rsidRPr="00B5523D">
        <w:rPr>
          <w:rFonts w:ascii="Times New Roman" w:hAnsi="Times New Roman" w:cs="Times New Roman"/>
          <w:b/>
          <w:lang w:val="fr-FR"/>
        </w:rPr>
        <w:t>.</w:t>
      </w:r>
      <w:r w:rsidR="00A11EFB" w:rsidRPr="00B5523D">
        <w:rPr>
          <w:rFonts w:ascii="Times New Roman" w:hAnsi="Times New Roman" w:cs="Times New Roman"/>
          <w:lang w:val="fr-FR"/>
        </w:rPr>
        <w:t xml:space="preserve"> </w:t>
      </w:r>
      <w:r w:rsidR="00A11EFB" w:rsidRPr="00FE24C0">
        <w:rPr>
          <w:rFonts w:ascii="Times New Roman" w:hAnsi="Times New Roman" w:cs="Times New Roman"/>
          <w:lang w:val="en-US"/>
        </w:rPr>
        <w:t>Forage classification in the SWBA region.</w:t>
      </w:r>
    </w:p>
    <w:p w:rsidR="002D5577" w:rsidRPr="00FE24C0" w:rsidRDefault="00130500" w:rsidP="000043EB">
      <w:pPr>
        <w:pStyle w:val="parrafosworldbank"/>
        <w:spacing w:line="240" w:lineRule="auto"/>
        <w:ind w:left="0" w:firstLine="0"/>
        <w:rPr>
          <w:rFonts w:ascii="Times New Roman" w:hAnsi="Times New Roman" w:cs="Times New Roman"/>
          <w:lang w:val="en-US"/>
        </w:rPr>
      </w:pPr>
      <w:r w:rsidRPr="00FE24C0">
        <w:rPr>
          <w:rFonts w:ascii="Times New Roman" w:hAnsi="Times New Roman" w:cs="Times New Roman"/>
          <w:noProof/>
          <w:lang w:val="es-AR" w:eastAsia="es-AR"/>
        </w:rPr>
        <w:drawing>
          <wp:inline distT="0" distB="0" distL="0" distR="0">
            <wp:extent cx="2348139" cy="3226113"/>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2347680" cy="3225482"/>
                    </a:xfrm>
                    <a:prstGeom prst="rect">
                      <a:avLst/>
                    </a:prstGeom>
                    <a:noFill/>
                    <a:ln w="9525">
                      <a:noFill/>
                      <a:miter lim="800000"/>
                      <a:headEnd/>
                      <a:tailEnd/>
                    </a:ln>
                  </pic:spPr>
                </pic:pic>
              </a:graphicData>
            </a:graphic>
          </wp:inline>
        </w:drawing>
      </w:r>
    </w:p>
    <w:p w:rsidR="00F559A0" w:rsidRPr="00FE24C0" w:rsidRDefault="00F559A0" w:rsidP="00EC0E18">
      <w:pPr>
        <w:pStyle w:val="parrafosworldbank"/>
        <w:spacing w:after="240" w:line="240" w:lineRule="auto"/>
        <w:ind w:left="0" w:firstLine="0"/>
        <w:rPr>
          <w:rFonts w:ascii="Times New Roman" w:hAnsi="Times New Roman" w:cs="Times New Roman"/>
          <w:lang w:val="en-US"/>
        </w:rPr>
      </w:pPr>
      <w:r w:rsidRPr="00FE24C0">
        <w:rPr>
          <w:rFonts w:ascii="Times New Roman" w:hAnsi="Times New Roman" w:cs="Times New Roman"/>
          <w:lang w:val="en-US"/>
        </w:rPr>
        <w:t>Source: LART-FAUBA</w:t>
      </w:r>
    </w:p>
    <w:p w:rsidR="003C5324" w:rsidRPr="00FE24C0" w:rsidRDefault="003C5324" w:rsidP="00FB168B">
      <w:pPr>
        <w:pStyle w:val="Ttulo2"/>
        <w:spacing w:before="0"/>
        <w:rPr>
          <w:szCs w:val="22"/>
          <w:lang w:val="en-US"/>
        </w:rPr>
      </w:pPr>
      <w:r w:rsidRPr="00FE24C0">
        <w:rPr>
          <w:szCs w:val="22"/>
          <w:lang w:val="en-US"/>
        </w:rPr>
        <w:lastRenderedPageBreak/>
        <w:t>Conclusions</w:t>
      </w:r>
    </w:p>
    <w:p w:rsidR="003C5324" w:rsidRPr="00FE24C0" w:rsidRDefault="003C5324" w:rsidP="001777D9">
      <w:r w:rsidRPr="00FE24C0">
        <w:t>The general protocol described in this report was applied to obtain a unified NDVI database for Argentina, in terms of spatial and temporal resolution. This database was provided on “.CSV” extension, and can be used with any database manager regardless of whether or not it works with spatial operations. The database is composed of the following tables:</w:t>
      </w:r>
    </w:p>
    <w:p w:rsidR="003C5324" w:rsidRPr="00FE24C0" w:rsidRDefault="003C5324" w:rsidP="00DE58E6">
      <w:pPr>
        <w:pStyle w:val="parrafosworldbank"/>
        <w:numPr>
          <w:ilvl w:val="0"/>
          <w:numId w:val="5"/>
        </w:numPr>
        <w:spacing w:line="240" w:lineRule="auto"/>
        <w:ind w:left="754" w:hanging="357"/>
        <w:rPr>
          <w:rFonts w:ascii="Times New Roman" w:hAnsi="Times New Roman" w:cs="Times New Roman"/>
          <w:lang w:val="en-US"/>
        </w:rPr>
      </w:pPr>
      <w:r w:rsidRPr="00FE24C0">
        <w:rPr>
          <w:rFonts w:ascii="Times New Roman" w:hAnsi="Times New Roman" w:cs="Times New Roman"/>
          <w:b/>
          <w:lang w:val="en-US"/>
        </w:rPr>
        <w:t>base_fn:</w:t>
      </w:r>
      <w:r w:rsidRPr="00FE24C0">
        <w:rPr>
          <w:rFonts w:ascii="Times New Roman" w:hAnsi="Times New Roman" w:cs="Times New Roman"/>
          <w:lang w:val="en-US"/>
        </w:rPr>
        <w:t xml:space="preserve"> This is the main table which contains NDVI, fPAR, fPAR normalized. The information is provided on LTDR resolution, but aggregated data can be browsed at District, Provincial and any other polygon level.</w:t>
      </w:r>
    </w:p>
    <w:p w:rsidR="003C5324" w:rsidRPr="00FE24C0" w:rsidRDefault="003C5324" w:rsidP="00DE58E6">
      <w:pPr>
        <w:pStyle w:val="parrafosworldbank"/>
        <w:numPr>
          <w:ilvl w:val="0"/>
          <w:numId w:val="5"/>
        </w:numPr>
        <w:spacing w:line="240" w:lineRule="auto"/>
        <w:ind w:left="754" w:hanging="357"/>
        <w:rPr>
          <w:rFonts w:ascii="Times New Roman" w:hAnsi="Times New Roman" w:cs="Times New Roman"/>
          <w:b/>
          <w:lang w:val="en-US"/>
        </w:rPr>
      </w:pPr>
      <w:r w:rsidRPr="00FE24C0">
        <w:rPr>
          <w:rFonts w:ascii="Times New Roman" w:hAnsi="Times New Roman" w:cs="Times New Roman"/>
          <w:b/>
          <w:lang w:val="en-US"/>
        </w:rPr>
        <w:t xml:space="preserve">centroides_deptos: </w:t>
      </w:r>
      <w:r w:rsidRPr="00FE24C0">
        <w:rPr>
          <w:rFonts w:ascii="Times New Roman" w:hAnsi="Times New Roman" w:cs="Times New Roman"/>
          <w:lang w:val="en-US"/>
        </w:rPr>
        <w:t>this table was used for the construction of the base_fn, and it should be manipulated for updating the final database.</w:t>
      </w:r>
    </w:p>
    <w:p w:rsidR="003C5324" w:rsidRPr="00FE24C0" w:rsidRDefault="003C5324" w:rsidP="00DE58E6">
      <w:pPr>
        <w:pStyle w:val="parrafosworldbank"/>
        <w:numPr>
          <w:ilvl w:val="0"/>
          <w:numId w:val="5"/>
        </w:numPr>
        <w:spacing w:line="240" w:lineRule="auto"/>
        <w:ind w:left="754" w:hanging="357"/>
        <w:rPr>
          <w:rFonts w:ascii="Times New Roman" w:hAnsi="Times New Roman" w:cs="Times New Roman"/>
          <w:b/>
          <w:lang w:val="en-US"/>
        </w:rPr>
      </w:pPr>
      <w:r w:rsidRPr="00FE24C0">
        <w:rPr>
          <w:rFonts w:ascii="Times New Roman" w:hAnsi="Times New Roman" w:cs="Times New Roman"/>
          <w:b/>
          <w:lang w:val="en-US"/>
        </w:rPr>
        <w:t xml:space="preserve">so_bsas_clases_clasif: </w:t>
      </w:r>
      <w:r w:rsidRPr="00FE24C0">
        <w:rPr>
          <w:rFonts w:ascii="Times New Roman" w:hAnsi="Times New Roman" w:cs="Times New Roman"/>
          <w:lang w:val="en-US"/>
        </w:rPr>
        <w:t>this table shows the percentages of land use for each LTDR pixel from the SWBA province.</w:t>
      </w:r>
    </w:p>
    <w:p w:rsidR="003C5324" w:rsidRPr="00FE24C0" w:rsidRDefault="003C5324" w:rsidP="00DE58E6">
      <w:pPr>
        <w:pStyle w:val="parrafosworldbank"/>
        <w:numPr>
          <w:ilvl w:val="0"/>
          <w:numId w:val="5"/>
        </w:numPr>
        <w:spacing w:line="240" w:lineRule="auto"/>
        <w:ind w:left="754" w:hanging="357"/>
        <w:rPr>
          <w:rFonts w:ascii="Times New Roman" w:hAnsi="Times New Roman" w:cs="Times New Roman"/>
          <w:lang w:val="en-US"/>
        </w:rPr>
      </w:pPr>
      <w:r w:rsidRPr="00FE24C0">
        <w:rPr>
          <w:rFonts w:ascii="Times New Roman" w:hAnsi="Times New Roman" w:cs="Times New Roman"/>
          <w:b/>
          <w:lang w:val="en-US"/>
        </w:rPr>
        <w:t xml:space="preserve">patagonia_clasif_clases: </w:t>
      </w:r>
      <w:r w:rsidRPr="00FE24C0">
        <w:rPr>
          <w:rFonts w:ascii="Times New Roman" w:hAnsi="Times New Roman" w:cs="Times New Roman"/>
          <w:lang w:val="en-US"/>
        </w:rPr>
        <w:t>this table shows the percentages of land use for each LTDR pixel from Patagonia.</w:t>
      </w:r>
    </w:p>
    <w:p w:rsidR="00853A41" w:rsidRPr="00FE24C0" w:rsidRDefault="00853A41" w:rsidP="00FB168B">
      <w:pPr>
        <w:pStyle w:val="StyleAPdroughtChapterAfter36pt"/>
        <w:numPr>
          <w:ilvl w:val="0"/>
          <w:numId w:val="0"/>
        </w:numPr>
        <w:spacing w:after="240"/>
        <w:jc w:val="both"/>
        <w:rPr>
          <w:sz w:val="22"/>
          <w:szCs w:val="22"/>
        </w:rPr>
        <w:sectPr w:rsidR="00853A41" w:rsidRPr="00FE24C0" w:rsidSect="00DF2B75">
          <w:pgSz w:w="12240" w:h="15840"/>
          <w:pgMar w:top="1440" w:right="1797" w:bottom="1440" w:left="1797" w:header="709" w:footer="709" w:gutter="0"/>
          <w:cols w:space="708"/>
          <w:docGrid w:linePitch="360"/>
        </w:sectPr>
      </w:pPr>
    </w:p>
    <w:p w:rsidR="0052646B" w:rsidRPr="00FE24C0" w:rsidRDefault="00853A41">
      <w:pPr>
        <w:pStyle w:val="Ttulo1"/>
        <w:numPr>
          <w:ilvl w:val="0"/>
          <w:numId w:val="0"/>
        </w:numPr>
        <w:rPr>
          <w:rFonts w:cs="Times New Roman"/>
        </w:rPr>
      </w:pPr>
      <w:bookmarkStart w:id="53" w:name="_Toc345794285"/>
      <w:r w:rsidRPr="00FE24C0">
        <w:rPr>
          <w:rFonts w:cs="Times New Roman"/>
        </w:rPr>
        <w:lastRenderedPageBreak/>
        <w:t xml:space="preserve">Annex </w:t>
      </w:r>
      <w:r w:rsidR="00D07306" w:rsidRPr="00FE24C0">
        <w:rPr>
          <w:rFonts w:cs="Times New Roman"/>
        </w:rPr>
        <w:t>2</w:t>
      </w:r>
      <w:r w:rsidRPr="00FE24C0">
        <w:rPr>
          <w:rFonts w:cs="Times New Roman"/>
        </w:rPr>
        <w:t xml:space="preserve">. Normalized Difference Vegetation Index (NDVI) Pasture Index-based Insurance Prototype Options </w:t>
      </w:r>
      <w:r w:rsidR="00873989" w:rsidRPr="00FE24C0">
        <w:rPr>
          <w:rFonts w:cs="Times New Roman"/>
        </w:rPr>
        <w:t xml:space="preserve">and Rating Manual </w:t>
      </w:r>
      <w:r w:rsidRPr="00FE24C0">
        <w:rPr>
          <w:rFonts w:cs="Times New Roman"/>
        </w:rPr>
        <w:t>for SWBA</w:t>
      </w:r>
      <w:bookmarkEnd w:id="53"/>
    </w:p>
    <w:p w:rsidR="00680E4C" w:rsidRPr="00695F04" w:rsidRDefault="00444F9A" w:rsidP="00593B59">
      <w:pPr>
        <w:pStyle w:val="Prrafodelista"/>
        <w:numPr>
          <w:ilvl w:val="0"/>
          <w:numId w:val="20"/>
        </w:numPr>
        <w:spacing w:before="240" w:after="240"/>
        <w:ind w:left="357" w:hanging="357"/>
        <w:rPr>
          <w:rFonts w:ascii="Times New Roman" w:hAnsi="Times New Roman"/>
          <w:b/>
          <w:sz w:val="32"/>
          <w:szCs w:val="32"/>
        </w:rPr>
      </w:pPr>
      <w:bookmarkStart w:id="54" w:name="_Toc337309977"/>
      <w:r w:rsidRPr="00695F04">
        <w:rPr>
          <w:rFonts w:ascii="Times New Roman" w:hAnsi="Times New Roman"/>
          <w:b/>
          <w:sz w:val="32"/>
          <w:szCs w:val="32"/>
        </w:rPr>
        <w:t>Introduction</w:t>
      </w:r>
      <w:bookmarkEnd w:id="54"/>
    </w:p>
    <w:p w:rsidR="00680E4C" w:rsidRPr="00FE24C0" w:rsidRDefault="00444F9A" w:rsidP="004E79BD">
      <w:pPr>
        <w:spacing w:after="0"/>
      </w:pPr>
      <w:r w:rsidRPr="00FE24C0">
        <w:t xml:space="preserve">This annex describes the methodology used in the design of the macro-level NDVI Index Insurance for livestock producers in South West Buenos Aires (SWBA) and the rating tool built in Excel developed by the World Bank team, which performs the ratemaking of the product. The rating tool contains thirteen (13) Excel files linked each other. The main file, from which the user can manage all the calculation, is </w:t>
      </w:r>
      <w:r w:rsidRPr="00FE24C0">
        <w:rPr>
          <w:b/>
          <w:i/>
        </w:rPr>
        <w:t>IBI_Parameter.xlsm</w:t>
      </w:r>
      <w:r w:rsidRPr="00FE24C0">
        <w:t xml:space="preserve">, and the remaining twelve (12) files correspond to each one of the </w:t>
      </w:r>
      <w:r w:rsidR="00865CC5">
        <w:t>Departments</w:t>
      </w:r>
      <w:r w:rsidRPr="00FE24C0">
        <w:t xml:space="preserve"> in SWBA (see Table </w:t>
      </w:r>
      <w:r w:rsidR="002558DC" w:rsidRPr="00FE24C0">
        <w:t>A</w:t>
      </w:r>
      <w:r w:rsidR="0043546F">
        <w:t>2.</w:t>
      </w:r>
      <w:r w:rsidRPr="00FE24C0">
        <w:t>1).</w:t>
      </w:r>
    </w:p>
    <w:p w:rsidR="00680E4C" w:rsidRPr="00FE24C0" w:rsidRDefault="00680E4C" w:rsidP="004E79BD">
      <w:pPr>
        <w:spacing w:after="0"/>
      </w:pPr>
    </w:p>
    <w:tbl>
      <w:tblPr>
        <w:tblStyle w:val="Tablaconcuadrcula"/>
        <w:tblW w:w="0" w:type="auto"/>
        <w:jc w:val="center"/>
        <w:tblLook w:val="04A0"/>
      </w:tblPr>
      <w:tblGrid>
        <w:gridCol w:w="2027"/>
        <w:gridCol w:w="2118"/>
      </w:tblGrid>
      <w:tr w:rsidR="00680E4C" w:rsidRPr="00FE24C0" w:rsidTr="00680E4C">
        <w:trPr>
          <w:jc w:val="center"/>
        </w:trPr>
        <w:tc>
          <w:tcPr>
            <w:tcW w:w="2027" w:type="dxa"/>
            <w:vAlign w:val="center"/>
          </w:tcPr>
          <w:p w:rsidR="00680E4C" w:rsidRPr="00FE24C0" w:rsidRDefault="00680E4C" w:rsidP="004E79BD">
            <w:pPr>
              <w:spacing w:after="0"/>
              <w:jc w:val="center"/>
              <w:rPr>
                <w:b/>
                <w:sz w:val="18"/>
                <w:szCs w:val="18"/>
              </w:rPr>
            </w:pPr>
            <w:r w:rsidRPr="00FE24C0">
              <w:rPr>
                <w:b/>
                <w:sz w:val="18"/>
                <w:szCs w:val="18"/>
              </w:rPr>
              <w:t>File Name</w:t>
            </w:r>
          </w:p>
        </w:tc>
        <w:tc>
          <w:tcPr>
            <w:tcW w:w="2118" w:type="dxa"/>
            <w:vAlign w:val="center"/>
          </w:tcPr>
          <w:p w:rsidR="00680E4C" w:rsidRPr="00FE24C0" w:rsidRDefault="00680E4C" w:rsidP="004E79BD">
            <w:pPr>
              <w:spacing w:after="0"/>
              <w:jc w:val="center"/>
              <w:rPr>
                <w:b/>
                <w:sz w:val="18"/>
                <w:szCs w:val="18"/>
              </w:rPr>
            </w:pPr>
            <w:r w:rsidRPr="00FE24C0">
              <w:rPr>
                <w:b/>
                <w:sz w:val="18"/>
                <w:szCs w:val="18"/>
              </w:rPr>
              <w:t>District</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IBI_Parameter.xlsm</w:t>
            </w:r>
          </w:p>
        </w:tc>
        <w:tc>
          <w:tcPr>
            <w:tcW w:w="2118" w:type="dxa"/>
            <w:vAlign w:val="center"/>
          </w:tcPr>
          <w:p w:rsidR="00680E4C" w:rsidRPr="00FE24C0" w:rsidRDefault="00680E4C" w:rsidP="004E79BD">
            <w:pPr>
              <w:spacing w:after="0"/>
              <w:jc w:val="center"/>
              <w:rPr>
                <w:sz w:val="18"/>
                <w:szCs w:val="18"/>
              </w:rPr>
            </w:pPr>
            <w:r w:rsidRPr="00FE24C0">
              <w:rPr>
                <w:sz w:val="18"/>
                <w:szCs w:val="18"/>
              </w:rPr>
              <w:t>N/C</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Dpto007.xlsm</w:t>
            </w:r>
          </w:p>
        </w:tc>
        <w:tc>
          <w:tcPr>
            <w:tcW w:w="2118" w:type="dxa"/>
            <w:vAlign w:val="center"/>
          </w:tcPr>
          <w:p w:rsidR="00680E4C" w:rsidRPr="00FE24C0" w:rsidRDefault="00680E4C" w:rsidP="004E79BD">
            <w:pPr>
              <w:spacing w:after="0"/>
              <w:jc w:val="center"/>
              <w:rPr>
                <w:sz w:val="18"/>
                <w:szCs w:val="18"/>
              </w:rPr>
            </w:pPr>
            <w:r w:rsidRPr="00FE24C0">
              <w:rPr>
                <w:sz w:val="18"/>
                <w:szCs w:val="18"/>
              </w:rPr>
              <w:t>Adolfo Alsina</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Dpto056.xlsm</w:t>
            </w:r>
          </w:p>
        </w:tc>
        <w:tc>
          <w:tcPr>
            <w:tcW w:w="2118" w:type="dxa"/>
            <w:vAlign w:val="center"/>
          </w:tcPr>
          <w:p w:rsidR="00680E4C" w:rsidRPr="00FE24C0" w:rsidRDefault="00680E4C" w:rsidP="004E79BD">
            <w:pPr>
              <w:spacing w:after="0"/>
              <w:jc w:val="center"/>
              <w:rPr>
                <w:sz w:val="18"/>
                <w:szCs w:val="18"/>
              </w:rPr>
            </w:pPr>
            <w:r w:rsidRPr="00FE24C0">
              <w:rPr>
                <w:sz w:val="18"/>
                <w:szCs w:val="18"/>
              </w:rPr>
              <w:t>Bahía Blanca</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Dpto182.xlsm</w:t>
            </w:r>
          </w:p>
        </w:tc>
        <w:tc>
          <w:tcPr>
            <w:tcW w:w="2118" w:type="dxa"/>
            <w:vAlign w:val="center"/>
          </w:tcPr>
          <w:p w:rsidR="00680E4C" w:rsidRPr="00FE24C0" w:rsidRDefault="00680E4C" w:rsidP="004E79BD">
            <w:pPr>
              <w:spacing w:after="0"/>
              <w:jc w:val="center"/>
              <w:rPr>
                <w:sz w:val="18"/>
                <w:szCs w:val="18"/>
              </w:rPr>
            </w:pPr>
            <w:r w:rsidRPr="00FE24C0">
              <w:rPr>
                <w:sz w:val="18"/>
                <w:szCs w:val="18"/>
              </w:rPr>
              <w:t>Coronel Rosales</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Dpto189.xlsm</w:t>
            </w:r>
          </w:p>
        </w:tc>
        <w:tc>
          <w:tcPr>
            <w:tcW w:w="2118" w:type="dxa"/>
            <w:vAlign w:val="center"/>
          </w:tcPr>
          <w:p w:rsidR="00680E4C" w:rsidRPr="00FE24C0" w:rsidRDefault="00680E4C" w:rsidP="004E79BD">
            <w:pPr>
              <w:spacing w:after="0"/>
              <w:jc w:val="center"/>
              <w:rPr>
                <w:sz w:val="18"/>
                <w:szCs w:val="18"/>
              </w:rPr>
            </w:pPr>
            <w:r w:rsidRPr="00FE24C0">
              <w:rPr>
                <w:sz w:val="18"/>
                <w:szCs w:val="18"/>
              </w:rPr>
              <w:t>Coronel Dorrego</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Dpto196.xlsm</w:t>
            </w:r>
          </w:p>
        </w:tc>
        <w:tc>
          <w:tcPr>
            <w:tcW w:w="2118" w:type="dxa"/>
            <w:vAlign w:val="center"/>
          </w:tcPr>
          <w:p w:rsidR="00680E4C" w:rsidRPr="00FE24C0" w:rsidRDefault="00680E4C" w:rsidP="004E79BD">
            <w:pPr>
              <w:spacing w:after="0"/>
              <w:jc w:val="center"/>
              <w:rPr>
                <w:sz w:val="18"/>
                <w:szCs w:val="18"/>
              </w:rPr>
            </w:pPr>
            <w:r w:rsidRPr="00FE24C0">
              <w:rPr>
                <w:sz w:val="18"/>
                <w:szCs w:val="18"/>
              </w:rPr>
              <w:t>Coronel Pringles</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Dpto203.xlsm</w:t>
            </w:r>
          </w:p>
        </w:tc>
        <w:tc>
          <w:tcPr>
            <w:tcW w:w="2118" w:type="dxa"/>
            <w:vAlign w:val="center"/>
          </w:tcPr>
          <w:p w:rsidR="00680E4C" w:rsidRPr="00FE24C0" w:rsidRDefault="00680E4C" w:rsidP="004E79BD">
            <w:pPr>
              <w:spacing w:after="0"/>
              <w:jc w:val="center"/>
              <w:rPr>
                <w:sz w:val="18"/>
                <w:szCs w:val="18"/>
              </w:rPr>
            </w:pPr>
            <w:r w:rsidRPr="00FE24C0">
              <w:rPr>
                <w:sz w:val="18"/>
                <w:szCs w:val="18"/>
              </w:rPr>
              <w:t>Coronel Suárez</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Dpto399.xlsm</w:t>
            </w:r>
          </w:p>
        </w:tc>
        <w:tc>
          <w:tcPr>
            <w:tcW w:w="2118" w:type="dxa"/>
            <w:vAlign w:val="center"/>
          </w:tcPr>
          <w:p w:rsidR="00680E4C" w:rsidRPr="00FE24C0" w:rsidRDefault="00680E4C" w:rsidP="004E79BD">
            <w:pPr>
              <w:spacing w:after="0"/>
              <w:jc w:val="center"/>
              <w:rPr>
                <w:sz w:val="18"/>
                <w:szCs w:val="18"/>
              </w:rPr>
            </w:pPr>
            <w:r w:rsidRPr="00FE24C0">
              <w:rPr>
                <w:sz w:val="18"/>
                <w:szCs w:val="18"/>
              </w:rPr>
              <w:t>Guaminí</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Dpto602.xlsm</w:t>
            </w:r>
          </w:p>
        </w:tc>
        <w:tc>
          <w:tcPr>
            <w:tcW w:w="2118" w:type="dxa"/>
            <w:vAlign w:val="center"/>
          </w:tcPr>
          <w:p w:rsidR="00680E4C" w:rsidRPr="00FE24C0" w:rsidRDefault="00680E4C" w:rsidP="004E79BD">
            <w:pPr>
              <w:spacing w:after="0"/>
              <w:jc w:val="center"/>
              <w:rPr>
                <w:sz w:val="18"/>
                <w:szCs w:val="18"/>
              </w:rPr>
            </w:pPr>
            <w:r w:rsidRPr="00FE24C0">
              <w:rPr>
                <w:sz w:val="18"/>
                <w:szCs w:val="18"/>
              </w:rPr>
              <w:t>Carmen de Patagones</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Dpto651.xlsm</w:t>
            </w:r>
          </w:p>
        </w:tc>
        <w:tc>
          <w:tcPr>
            <w:tcW w:w="2118" w:type="dxa"/>
            <w:vAlign w:val="center"/>
          </w:tcPr>
          <w:p w:rsidR="00680E4C" w:rsidRPr="00FE24C0" w:rsidRDefault="00680E4C" w:rsidP="004E79BD">
            <w:pPr>
              <w:spacing w:after="0"/>
              <w:jc w:val="center"/>
              <w:rPr>
                <w:sz w:val="18"/>
                <w:szCs w:val="18"/>
              </w:rPr>
            </w:pPr>
            <w:r w:rsidRPr="00FE24C0">
              <w:rPr>
                <w:sz w:val="18"/>
                <w:szCs w:val="18"/>
              </w:rPr>
              <w:t>Puan</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Dpto700.xlsm</w:t>
            </w:r>
          </w:p>
        </w:tc>
        <w:tc>
          <w:tcPr>
            <w:tcW w:w="2118" w:type="dxa"/>
            <w:vAlign w:val="center"/>
          </w:tcPr>
          <w:p w:rsidR="00680E4C" w:rsidRPr="00FE24C0" w:rsidRDefault="00680E4C" w:rsidP="004E79BD">
            <w:pPr>
              <w:spacing w:after="0"/>
              <w:jc w:val="center"/>
              <w:rPr>
                <w:sz w:val="18"/>
                <w:szCs w:val="18"/>
              </w:rPr>
            </w:pPr>
            <w:r w:rsidRPr="00FE24C0">
              <w:rPr>
                <w:sz w:val="18"/>
                <w:szCs w:val="18"/>
              </w:rPr>
              <w:t>Saavedra</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Dpto819.xlsm</w:t>
            </w:r>
          </w:p>
        </w:tc>
        <w:tc>
          <w:tcPr>
            <w:tcW w:w="2118" w:type="dxa"/>
            <w:vAlign w:val="center"/>
          </w:tcPr>
          <w:p w:rsidR="00680E4C" w:rsidRPr="00FE24C0" w:rsidRDefault="00680E4C" w:rsidP="004E79BD">
            <w:pPr>
              <w:spacing w:after="0"/>
              <w:jc w:val="center"/>
              <w:rPr>
                <w:sz w:val="18"/>
                <w:szCs w:val="18"/>
              </w:rPr>
            </w:pPr>
            <w:r w:rsidRPr="00FE24C0">
              <w:rPr>
                <w:sz w:val="18"/>
                <w:szCs w:val="18"/>
              </w:rPr>
              <w:t>Tornquist</w:t>
            </w:r>
          </w:p>
        </w:tc>
      </w:tr>
      <w:tr w:rsidR="00680E4C" w:rsidRPr="00FE24C0" w:rsidTr="00680E4C">
        <w:trPr>
          <w:jc w:val="center"/>
        </w:trPr>
        <w:tc>
          <w:tcPr>
            <w:tcW w:w="2027" w:type="dxa"/>
            <w:vAlign w:val="center"/>
          </w:tcPr>
          <w:p w:rsidR="00680E4C" w:rsidRPr="00FE24C0" w:rsidRDefault="00680E4C" w:rsidP="004E79BD">
            <w:pPr>
              <w:spacing w:after="0"/>
              <w:jc w:val="center"/>
              <w:rPr>
                <w:sz w:val="18"/>
                <w:szCs w:val="18"/>
              </w:rPr>
            </w:pPr>
            <w:r w:rsidRPr="00FE24C0">
              <w:rPr>
                <w:sz w:val="18"/>
                <w:szCs w:val="18"/>
              </w:rPr>
              <w:t>Dpto875.xlsm</w:t>
            </w:r>
          </w:p>
        </w:tc>
        <w:tc>
          <w:tcPr>
            <w:tcW w:w="2118" w:type="dxa"/>
            <w:vAlign w:val="center"/>
          </w:tcPr>
          <w:p w:rsidR="00680E4C" w:rsidRPr="00FE24C0" w:rsidRDefault="00680E4C" w:rsidP="004E79BD">
            <w:pPr>
              <w:spacing w:after="0"/>
              <w:jc w:val="center"/>
              <w:rPr>
                <w:sz w:val="18"/>
                <w:szCs w:val="18"/>
              </w:rPr>
            </w:pPr>
            <w:r w:rsidRPr="00FE24C0">
              <w:rPr>
                <w:sz w:val="18"/>
                <w:szCs w:val="18"/>
              </w:rPr>
              <w:t>Villarino</w:t>
            </w:r>
          </w:p>
        </w:tc>
      </w:tr>
      <w:tr w:rsidR="00680E4C" w:rsidRPr="00FE24C0" w:rsidTr="00680E4C">
        <w:trPr>
          <w:jc w:val="center"/>
        </w:trPr>
        <w:tc>
          <w:tcPr>
            <w:tcW w:w="4145" w:type="dxa"/>
            <w:gridSpan w:val="2"/>
            <w:vAlign w:val="center"/>
          </w:tcPr>
          <w:p w:rsidR="00680E4C" w:rsidRPr="00FE24C0" w:rsidRDefault="00680E4C" w:rsidP="004E79BD">
            <w:pPr>
              <w:spacing w:after="0"/>
              <w:jc w:val="left"/>
              <w:rPr>
                <w:b/>
                <w:sz w:val="16"/>
                <w:szCs w:val="16"/>
              </w:rPr>
            </w:pPr>
            <w:r w:rsidRPr="00FE24C0">
              <w:rPr>
                <w:b/>
                <w:sz w:val="16"/>
                <w:szCs w:val="16"/>
              </w:rPr>
              <w:t xml:space="preserve">Table </w:t>
            </w:r>
            <w:r w:rsidR="002558DC" w:rsidRPr="00FE24C0">
              <w:rPr>
                <w:b/>
                <w:sz w:val="16"/>
                <w:szCs w:val="16"/>
              </w:rPr>
              <w:t>A</w:t>
            </w:r>
            <w:r w:rsidR="0043546F">
              <w:rPr>
                <w:b/>
                <w:sz w:val="16"/>
                <w:szCs w:val="16"/>
              </w:rPr>
              <w:t>2.</w:t>
            </w:r>
            <w:r w:rsidRPr="00FE24C0">
              <w:rPr>
                <w:b/>
                <w:sz w:val="16"/>
                <w:szCs w:val="16"/>
              </w:rPr>
              <w:t>1: Files of the Rating Tool.</w:t>
            </w:r>
          </w:p>
        </w:tc>
      </w:tr>
    </w:tbl>
    <w:p w:rsidR="00680E4C" w:rsidRPr="00FE24C0" w:rsidRDefault="00680E4C" w:rsidP="004E79BD">
      <w:pPr>
        <w:spacing w:after="0"/>
      </w:pPr>
    </w:p>
    <w:p w:rsidR="00680E4C" w:rsidRPr="00FE24C0" w:rsidRDefault="00444F9A" w:rsidP="004E79BD">
      <w:pPr>
        <w:spacing w:after="0"/>
      </w:pPr>
      <w:r w:rsidRPr="00FE24C0">
        <w:t>The Rating Tool allows calculating the main parameter of the Index Insurance (Trigger and Exit), calculating the Sum Insured, estimating premiums based on burn analysis methodology, calculating historical payments according to the parameters chosen, and estimating the Probable Maximum Loss in an individual basis</w:t>
      </w:r>
      <w:r w:rsidRPr="00FE24C0">
        <w:rPr>
          <w:rStyle w:val="Refdenotaalpie"/>
        </w:rPr>
        <w:footnoteReference w:id="38"/>
      </w:r>
      <w:r w:rsidRPr="00FE24C0">
        <w:t>.</w:t>
      </w:r>
    </w:p>
    <w:p w:rsidR="004E79BD" w:rsidRPr="00FE24C0" w:rsidRDefault="004E79BD" w:rsidP="004E79BD">
      <w:pPr>
        <w:spacing w:after="0"/>
      </w:pPr>
    </w:p>
    <w:p w:rsidR="00843EDE" w:rsidRDefault="00444F9A" w:rsidP="004E79BD">
      <w:pPr>
        <w:spacing w:after="0"/>
      </w:pPr>
      <w:r w:rsidRPr="00FE24C0">
        <w:t xml:space="preserve">The main file, </w:t>
      </w:r>
      <w:r w:rsidRPr="00FE24C0">
        <w:rPr>
          <w:b/>
          <w:i/>
        </w:rPr>
        <w:t>IBI_Parameter.xlsm</w:t>
      </w:r>
      <w:r w:rsidRPr="00FE24C0">
        <w:t>, summarizes the Sum Insured</w:t>
      </w:r>
      <w:r w:rsidR="00DB1BD9">
        <w:t xml:space="preserve"> and</w:t>
      </w:r>
      <w:r w:rsidRPr="00FE24C0">
        <w:t xml:space="preserve"> Premium of the twelve </w:t>
      </w:r>
      <w:r w:rsidR="00865CC5">
        <w:t>Departments</w:t>
      </w:r>
      <w:r w:rsidRPr="00FE24C0">
        <w:t xml:space="preserve">. In turn, the remaining files, in the sheet called </w:t>
      </w:r>
      <w:r w:rsidRPr="00FE24C0">
        <w:rPr>
          <w:b/>
          <w:i/>
        </w:rPr>
        <w:t>Pago_xCuartel</w:t>
      </w:r>
      <w:r w:rsidRPr="00FE24C0">
        <w:t xml:space="preserve"> of each one, exposes the Sum Insured</w:t>
      </w:r>
      <w:r w:rsidR="00AE1998">
        <w:t xml:space="preserve"> and </w:t>
      </w:r>
      <w:r w:rsidRPr="00FE24C0">
        <w:t xml:space="preserve">Premium of each </w:t>
      </w:r>
      <w:r w:rsidR="00AE1998">
        <w:t>Department</w:t>
      </w:r>
      <w:r w:rsidRPr="00FE24C0">
        <w:t xml:space="preserve">, as well as the historical payments of the insurance, with a per Cuartel detail. Finally, in each one of the </w:t>
      </w:r>
      <w:r w:rsidR="00865CC5">
        <w:t>Departments</w:t>
      </w:r>
      <w:r w:rsidRPr="00FE24C0">
        <w:t>’ files there is one sheet per cluster (Homogeneous Risk Zone)</w:t>
      </w:r>
      <w:r w:rsidRPr="00FE24C0">
        <w:rPr>
          <w:rStyle w:val="Refdenotaalpie"/>
        </w:rPr>
        <w:t xml:space="preserve"> </w:t>
      </w:r>
      <w:r w:rsidRPr="00FE24C0">
        <w:rPr>
          <w:rStyle w:val="Refdenotaalpie"/>
        </w:rPr>
        <w:footnoteReference w:id="39"/>
      </w:r>
      <w:r w:rsidRPr="00FE24C0">
        <w:t>, in which is shown the Trigger and Exit for each one.</w:t>
      </w:r>
    </w:p>
    <w:p w:rsidR="00536C63" w:rsidRDefault="00536C63" w:rsidP="004E79BD">
      <w:pPr>
        <w:spacing w:after="0"/>
      </w:pPr>
    </w:p>
    <w:p w:rsidR="00536C63" w:rsidRDefault="00536C63" w:rsidP="004E79BD">
      <w:pPr>
        <w:spacing w:after="0"/>
      </w:pPr>
    </w:p>
    <w:p w:rsidR="00536C63" w:rsidRDefault="00536C63" w:rsidP="004E79BD">
      <w:pPr>
        <w:spacing w:after="0"/>
      </w:pPr>
    </w:p>
    <w:p w:rsidR="00193F63" w:rsidRPr="00695F04" w:rsidRDefault="00444F9A" w:rsidP="00593B59">
      <w:pPr>
        <w:pStyle w:val="Prrafodelista"/>
        <w:numPr>
          <w:ilvl w:val="0"/>
          <w:numId w:val="20"/>
        </w:numPr>
        <w:spacing w:before="240" w:after="240"/>
        <w:ind w:left="357" w:hanging="357"/>
        <w:rPr>
          <w:rFonts w:ascii="Times New Roman" w:hAnsi="Times New Roman"/>
          <w:b/>
          <w:sz w:val="32"/>
          <w:szCs w:val="32"/>
        </w:rPr>
      </w:pPr>
      <w:bookmarkStart w:id="55" w:name="_Toc337309978"/>
      <w:r w:rsidRPr="00695F04">
        <w:rPr>
          <w:rFonts w:ascii="Times New Roman" w:hAnsi="Times New Roman"/>
          <w:b/>
          <w:sz w:val="32"/>
          <w:szCs w:val="32"/>
        </w:rPr>
        <w:lastRenderedPageBreak/>
        <w:t>Excel version and macro configuration</w:t>
      </w:r>
      <w:bookmarkEnd w:id="55"/>
    </w:p>
    <w:p w:rsidR="00680E4C" w:rsidRPr="00FE24C0" w:rsidRDefault="00444F9A" w:rsidP="004E79BD">
      <w:pPr>
        <w:spacing w:after="0"/>
      </w:pPr>
      <w:r w:rsidRPr="00FE24C0">
        <w:t>The rating tool has been developed completely in Microsoft Excel® 2007, and the developers do not guarantee the adequate working of it in another version of Microsoft Excel or in any other spreadsheet software.</w:t>
      </w:r>
    </w:p>
    <w:p w:rsidR="004E79BD" w:rsidRPr="00FE24C0" w:rsidRDefault="004E79BD" w:rsidP="004E79BD">
      <w:pPr>
        <w:spacing w:after="0"/>
      </w:pPr>
    </w:p>
    <w:p w:rsidR="00680E4C" w:rsidRPr="00FE24C0" w:rsidRDefault="00444F9A" w:rsidP="004E79BD">
      <w:pPr>
        <w:spacing w:after="0"/>
      </w:pPr>
      <w:r w:rsidRPr="00FE24C0">
        <w:t>For an adequate working of the rating tool all the Excel files mentioned in Section 1 (</w:t>
      </w:r>
      <w:r w:rsidRPr="00FE24C0">
        <w:rPr>
          <w:b/>
          <w:i/>
        </w:rPr>
        <w:t>IBI_Parameter.xlsm</w:t>
      </w:r>
      <w:r w:rsidRPr="00FE24C0">
        <w:t xml:space="preserve"> and the twelve files corresponding to each one of the </w:t>
      </w:r>
      <w:r w:rsidR="00865CC5">
        <w:t>Departments</w:t>
      </w:r>
      <w:r w:rsidRPr="00FE24C0">
        <w:t xml:space="preserve"> in SWBA) must be located in the same folder of the PC. In case that the files are located in </w:t>
      </w:r>
      <w:r w:rsidR="00DF06BA">
        <w:t xml:space="preserve">different </w:t>
      </w:r>
      <w:r w:rsidRPr="00FE24C0">
        <w:t>folders, some links could be damaged and the rating tool could work wrongly.</w:t>
      </w:r>
    </w:p>
    <w:p w:rsidR="00680E4C" w:rsidRPr="00FE24C0" w:rsidRDefault="00444F9A" w:rsidP="004E79BD">
      <w:pPr>
        <w:spacing w:after="0"/>
      </w:pPr>
      <w:r w:rsidRPr="00FE24C0">
        <w:t>The rating tool includes code developed in Visual Basic for Applications (VBA)</w:t>
      </w:r>
      <w:proofErr w:type="gramStart"/>
      <w:r w:rsidRPr="00FE24C0">
        <w:t>,</w:t>
      </w:r>
      <w:proofErr w:type="gramEnd"/>
      <w:r w:rsidRPr="00FE24C0">
        <w:t xml:space="preserve"> therefore the “Macros” have to be enabled by users for correct </w:t>
      </w:r>
      <w:r w:rsidR="00DF06BA">
        <w:t>functioning</w:t>
      </w:r>
      <w:r w:rsidR="00DF06BA" w:rsidRPr="00FE24C0">
        <w:t xml:space="preserve"> </w:t>
      </w:r>
      <w:r w:rsidRPr="00FE24C0">
        <w:t>of the tool.</w:t>
      </w:r>
    </w:p>
    <w:p w:rsidR="00680E4C" w:rsidRPr="00FE24C0" w:rsidRDefault="00680E4C" w:rsidP="004E79BD">
      <w:pPr>
        <w:spacing w:after="0"/>
      </w:pPr>
    </w:p>
    <w:p w:rsidR="00680E4C" w:rsidRPr="00FE24C0" w:rsidRDefault="00444F9A" w:rsidP="004E79BD">
      <w:pPr>
        <w:spacing w:after="0"/>
        <w:rPr>
          <w:b/>
          <w:u w:val="single"/>
        </w:rPr>
      </w:pPr>
      <w:r w:rsidRPr="00FE24C0">
        <w:rPr>
          <w:b/>
          <w:u w:val="single"/>
        </w:rPr>
        <w:t>Macros Settings</w:t>
      </w:r>
    </w:p>
    <w:p w:rsidR="00680E4C" w:rsidRPr="00FE24C0" w:rsidRDefault="00444F9A" w:rsidP="004E79BD">
      <w:pPr>
        <w:spacing w:after="0"/>
      </w:pPr>
      <w:r w:rsidRPr="00FE24C0">
        <w:t>In order to enable macros, the user have to access to the Trust Center in Excel.</w:t>
      </w:r>
    </w:p>
    <w:p w:rsidR="00680E4C" w:rsidRPr="00FE24C0" w:rsidRDefault="00444F9A" w:rsidP="004E79BD">
      <w:pPr>
        <w:spacing w:after="0"/>
      </w:pPr>
      <w:r w:rsidRPr="00FE24C0">
        <w:t xml:space="preserve">The procedure is illustrated in Figure </w:t>
      </w:r>
      <w:r w:rsidR="0043546F">
        <w:t>A2.</w:t>
      </w:r>
      <w:r w:rsidRPr="00FE24C0">
        <w:t>1 in next page:</w:t>
      </w:r>
    </w:p>
    <w:p w:rsidR="00680E4C" w:rsidRPr="00FE24C0" w:rsidRDefault="00444F9A" w:rsidP="00DF06BA">
      <w:pPr>
        <w:pStyle w:val="Prrafodelista"/>
        <w:numPr>
          <w:ilvl w:val="0"/>
          <w:numId w:val="12"/>
        </w:numPr>
        <w:spacing w:after="0" w:line="240" w:lineRule="auto"/>
        <w:ind w:left="426" w:hanging="426"/>
        <w:outlineLvl w:val="9"/>
        <w:rPr>
          <w:rFonts w:ascii="Times New Roman" w:hAnsi="Times New Roman"/>
        </w:rPr>
      </w:pPr>
      <w:r w:rsidRPr="00FE24C0">
        <w:rPr>
          <w:rFonts w:ascii="Times New Roman" w:hAnsi="Times New Roman"/>
        </w:rPr>
        <w:t>Click the Microsoft Office Button,</w:t>
      </w:r>
    </w:p>
    <w:p w:rsidR="00680E4C" w:rsidRPr="00FE24C0" w:rsidRDefault="00444F9A" w:rsidP="00DF06BA">
      <w:pPr>
        <w:pStyle w:val="Prrafodelista"/>
        <w:numPr>
          <w:ilvl w:val="0"/>
          <w:numId w:val="12"/>
        </w:numPr>
        <w:spacing w:after="0" w:line="240" w:lineRule="auto"/>
        <w:ind w:left="426" w:hanging="426"/>
        <w:outlineLvl w:val="9"/>
        <w:rPr>
          <w:rFonts w:ascii="Times New Roman" w:hAnsi="Times New Roman"/>
        </w:rPr>
      </w:pPr>
      <w:r w:rsidRPr="00FE24C0">
        <w:rPr>
          <w:rFonts w:ascii="Times New Roman" w:hAnsi="Times New Roman"/>
        </w:rPr>
        <w:t xml:space="preserve">Click Excel Options, </w:t>
      </w:r>
    </w:p>
    <w:p w:rsidR="00680E4C" w:rsidRPr="00FE24C0" w:rsidRDefault="00444F9A" w:rsidP="00DF06BA">
      <w:pPr>
        <w:pStyle w:val="Prrafodelista"/>
        <w:numPr>
          <w:ilvl w:val="0"/>
          <w:numId w:val="12"/>
        </w:numPr>
        <w:spacing w:after="0" w:line="240" w:lineRule="auto"/>
        <w:ind w:left="426" w:hanging="426"/>
        <w:outlineLvl w:val="9"/>
        <w:rPr>
          <w:rFonts w:ascii="Times New Roman" w:hAnsi="Times New Roman"/>
        </w:rPr>
      </w:pPr>
      <w:r w:rsidRPr="00FE24C0">
        <w:rPr>
          <w:rFonts w:ascii="Times New Roman" w:hAnsi="Times New Roman"/>
        </w:rPr>
        <w:t>Click Trust Center and the click Trust Center Settings,</w:t>
      </w:r>
    </w:p>
    <w:p w:rsidR="00680E4C" w:rsidRPr="00FE24C0" w:rsidRDefault="00444F9A" w:rsidP="00DF06BA">
      <w:pPr>
        <w:pStyle w:val="Prrafodelista"/>
        <w:numPr>
          <w:ilvl w:val="0"/>
          <w:numId w:val="12"/>
        </w:numPr>
        <w:spacing w:after="0" w:line="240" w:lineRule="auto"/>
        <w:ind w:left="426" w:hanging="426"/>
        <w:outlineLvl w:val="9"/>
        <w:rPr>
          <w:rFonts w:ascii="Times New Roman" w:hAnsi="Times New Roman"/>
        </w:rPr>
      </w:pPr>
      <w:r w:rsidRPr="00FE24C0">
        <w:rPr>
          <w:rFonts w:ascii="Times New Roman" w:hAnsi="Times New Roman"/>
        </w:rPr>
        <w:t>Once the Trust Center, click Macro Settings and then choose “Disable all macros with notification”.</w:t>
      </w:r>
    </w:p>
    <w:p w:rsidR="00680E4C" w:rsidRPr="00FE24C0" w:rsidRDefault="00680E4C" w:rsidP="00DF06BA">
      <w:pPr>
        <w:spacing w:after="0"/>
      </w:pPr>
    </w:p>
    <w:p w:rsidR="00680E4C" w:rsidRPr="00FE24C0" w:rsidRDefault="00444F9A" w:rsidP="004E79BD">
      <w:pPr>
        <w:spacing w:after="0"/>
      </w:pPr>
      <w:r w:rsidRPr="00FE24C0">
        <w:t>By this setting Excel disables all macros of any file, but with a notification to the user, so that the user could choose to enable it, in case the developer is trusty.</w:t>
      </w:r>
    </w:p>
    <w:p w:rsidR="00680E4C" w:rsidRPr="00FE24C0" w:rsidRDefault="00680E4C" w:rsidP="004E79BD">
      <w:pPr>
        <w:spacing w:after="0"/>
      </w:pPr>
    </w:p>
    <w:p w:rsidR="00193F63" w:rsidRPr="00695F04" w:rsidRDefault="00444F9A" w:rsidP="00593B59">
      <w:pPr>
        <w:pStyle w:val="Prrafodelista"/>
        <w:numPr>
          <w:ilvl w:val="0"/>
          <w:numId w:val="20"/>
        </w:numPr>
        <w:spacing w:before="240" w:after="240"/>
        <w:ind w:left="357" w:hanging="357"/>
        <w:rPr>
          <w:rFonts w:ascii="Times New Roman" w:hAnsi="Times New Roman"/>
          <w:b/>
          <w:sz w:val="32"/>
          <w:szCs w:val="32"/>
        </w:rPr>
      </w:pPr>
      <w:bookmarkStart w:id="56" w:name="_Toc337309979"/>
      <w:r w:rsidRPr="00695F04">
        <w:rPr>
          <w:rFonts w:ascii="Times New Roman" w:hAnsi="Times New Roman"/>
          <w:b/>
          <w:sz w:val="32"/>
          <w:szCs w:val="32"/>
        </w:rPr>
        <w:t>Insurance description and features of the rating model</w:t>
      </w:r>
      <w:bookmarkEnd w:id="56"/>
    </w:p>
    <w:p w:rsidR="00680E4C" w:rsidRPr="00FE24C0" w:rsidRDefault="00FC6FD1" w:rsidP="00843EDE">
      <w:pPr>
        <w:pStyle w:val="Ttulo2"/>
        <w:keepLines w:val="0"/>
        <w:numPr>
          <w:ilvl w:val="1"/>
          <w:numId w:val="0"/>
        </w:numPr>
        <w:spacing w:before="0" w:after="0"/>
      </w:pPr>
      <w:bookmarkStart w:id="57" w:name="_Toc337309980"/>
      <w:r w:rsidRPr="00FE24C0">
        <w:t xml:space="preserve">3.1. </w:t>
      </w:r>
      <w:r w:rsidR="00680E4C" w:rsidRPr="00FE24C0">
        <w:t>Database</w:t>
      </w:r>
      <w:bookmarkEnd w:id="57"/>
    </w:p>
    <w:p w:rsidR="00843EDE" w:rsidRDefault="00843EDE" w:rsidP="004E79BD">
      <w:pPr>
        <w:spacing w:after="0"/>
      </w:pPr>
    </w:p>
    <w:p w:rsidR="00680E4C" w:rsidRPr="00FE24C0" w:rsidRDefault="00444F9A" w:rsidP="004E79BD">
      <w:pPr>
        <w:spacing w:after="0"/>
      </w:pPr>
      <w:r w:rsidRPr="00FE24C0">
        <w:t>In order to design the insurance</w:t>
      </w:r>
      <w:r w:rsidR="00DB1BD9">
        <w:t xml:space="preserve"> and</w:t>
      </w:r>
      <w:r w:rsidRPr="00FE24C0">
        <w:t xml:space="preserve"> to develop the rating methodology it </w:t>
      </w:r>
      <w:r w:rsidR="00DB1BD9">
        <w:t xml:space="preserve">has been </w:t>
      </w:r>
      <w:r w:rsidRPr="00FE24C0">
        <w:t xml:space="preserve">used NDVI monthly data from January 1982 to December 2009. NDVI data corresponds to the twelve </w:t>
      </w:r>
      <w:r w:rsidR="00865CC5">
        <w:t>Departments</w:t>
      </w:r>
      <w:r w:rsidRPr="00FE24C0">
        <w:t xml:space="preserve"> mentioned in Table </w:t>
      </w:r>
      <w:r w:rsidR="0043546F">
        <w:t>A2.</w:t>
      </w:r>
      <w:r w:rsidRPr="00FE24C0">
        <w:t xml:space="preserve">1 and </w:t>
      </w:r>
      <w:r w:rsidR="00FC6FD1" w:rsidRPr="00FE24C0">
        <w:t xml:space="preserve">it </w:t>
      </w:r>
      <w:r w:rsidRPr="00FE24C0">
        <w:t xml:space="preserve">is disaggregated in pixels whose spatial resolution is 2,500 </w:t>
      </w:r>
      <w:r w:rsidR="00FC6FD1" w:rsidRPr="00FE24C0">
        <w:t>H</w:t>
      </w:r>
      <w:r w:rsidRPr="00FE24C0">
        <w:t>a each one. Data property is of Agricultur</w:t>
      </w:r>
      <w:r w:rsidR="00FC6FD1" w:rsidRPr="00FE24C0">
        <w:t>al</w:t>
      </w:r>
      <w:r w:rsidRPr="00FE24C0">
        <w:t xml:space="preserve"> Risk Office of the </w:t>
      </w:r>
      <w:r w:rsidRPr="00FE24C0">
        <w:rPr>
          <w:szCs w:val="22"/>
        </w:rPr>
        <w:t>Ministry of Agriculture, Livestock and Fisheries</w:t>
      </w:r>
      <w:r w:rsidRPr="00FE24C0">
        <w:t xml:space="preserve"> (ORA-MAGyP). The database was developed by </w:t>
      </w:r>
      <w:r w:rsidRPr="00FE24C0">
        <w:rPr>
          <w:szCs w:val="22"/>
        </w:rPr>
        <w:t>Remote Sensing and Regional Analysis Laboratory – Faculty of Agronomy, University of Buenos Aires</w:t>
      </w:r>
      <w:r w:rsidRPr="00FE24C0">
        <w:t xml:space="preserve"> (LART-FAUBA) at the request of ORA-MAGyP.</w:t>
      </w:r>
    </w:p>
    <w:p w:rsidR="00680E4C" w:rsidRPr="00FE24C0" w:rsidRDefault="00680E4C" w:rsidP="004E79BD">
      <w:pPr>
        <w:spacing w:after="0"/>
      </w:pPr>
    </w:p>
    <w:p w:rsidR="00680E4C" w:rsidRPr="00FE24C0" w:rsidRDefault="00444F9A" w:rsidP="004E79BD">
      <w:pPr>
        <w:spacing w:after="0"/>
        <w:rPr>
          <w:b/>
          <w:u w:val="single"/>
        </w:rPr>
      </w:pPr>
      <w:r w:rsidRPr="00FE24C0">
        <w:rPr>
          <w:b/>
          <w:u w:val="single"/>
        </w:rPr>
        <w:t>Pixels considered</w:t>
      </w:r>
    </w:p>
    <w:p w:rsidR="00680E4C" w:rsidRPr="00FE24C0" w:rsidRDefault="00444F9A" w:rsidP="004E79BD">
      <w:pPr>
        <w:spacing w:after="0"/>
      </w:pPr>
      <w:r w:rsidRPr="00FE24C0">
        <w:t xml:space="preserve">It is worth </w:t>
      </w:r>
      <w:r w:rsidR="00FC6FD1" w:rsidRPr="00FE24C0">
        <w:t>mentioning</w:t>
      </w:r>
      <w:r w:rsidRPr="00FE24C0">
        <w:t xml:space="preserve"> that there were zones in SWBA discarded because they did not show adequate forage coverage in land surface. The rating model was developed including only those pixels with at least 60% of forage coverage, according to the classification of land coverage performed by LART-FAUBA. Moreover, there were excluded of the analysis those pixels with more than 5% of missing data. Finally, through visual inspection, it were excluded some pixels because of the specific location of their centroids (</w:t>
      </w:r>
      <w:r w:rsidR="00FC6FD1" w:rsidRPr="00FE24C0">
        <w:t xml:space="preserve">i.e. </w:t>
      </w:r>
      <w:r w:rsidRPr="00FE24C0">
        <w:t xml:space="preserve">urban zones, rivers, lagoons, tubes, etc.).  </w:t>
      </w:r>
    </w:p>
    <w:p w:rsidR="00680E4C" w:rsidRPr="00FE24C0" w:rsidRDefault="00680E4C" w:rsidP="004E79BD">
      <w:pPr>
        <w:spacing w:after="0"/>
      </w:pPr>
    </w:p>
    <w:p w:rsidR="00680E4C" w:rsidRPr="00FE24C0" w:rsidRDefault="00444F9A" w:rsidP="004E79BD">
      <w:pPr>
        <w:spacing w:after="0"/>
        <w:rPr>
          <w:b/>
          <w:u w:val="single"/>
        </w:rPr>
      </w:pPr>
      <w:r w:rsidRPr="00FE24C0">
        <w:rPr>
          <w:b/>
          <w:u w:val="single"/>
        </w:rPr>
        <w:t>Filling data gaps</w:t>
      </w:r>
    </w:p>
    <w:p w:rsidR="00680E4C" w:rsidRDefault="00FC6FD1" w:rsidP="004E79BD">
      <w:pPr>
        <w:spacing w:after="0"/>
      </w:pPr>
      <w:r w:rsidRPr="00FE24C0">
        <w:t>Because the database has missing values,</w:t>
      </w:r>
      <w:r w:rsidR="00444F9A" w:rsidRPr="00FE24C0">
        <w:t xml:space="preserve"> it was necessary to fill the gaps by means of interpolation techniques. The filling was made on a “pixel base”, using two different methodologies, namely:</w:t>
      </w:r>
    </w:p>
    <w:p w:rsidR="006B5DAB" w:rsidRDefault="006B5DAB" w:rsidP="00680E4C">
      <w:pPr>
        <w:sectPr w:rsidR="006B5DAB" w:rsidSect="00DF2B75">
          <w:pgSz w:w="12240" w:h="15840"/>
          <w:pgMar w:top="1440" w:right="1797" w:bottom="1440" w:left="1797" w:header="709" w:footer="709" w:gutter="0"/>
          <w:cols w:space="708"/>
          <w:docGrid w:linePitch="360"/>
        </w:sectPr>
      </w:pPr>
    </w:p>
    <w:tbl>
      <w:tblPr>
        <w:tblStyle w:val="Tablaconcuadrcula"/>
        <w:tblW w:w="0" w:type="auto"/>
        <w:tblLook w:val="04A0"/>
      </w:tblPr>
      <w:tblGrid>
        <w:gridCol w:w="8856"/>
      </w:tblGrid>
      <w:tr w:rsidR="00680E4C" w:rsidRPr="00FE24C0" w:rsidTr="00B13EA3">
        <w:trPr>
          <w:trHeight w:val="3883"/>
        </w:trPr>
        <w:tc>
          <w:tcPr>
            <w:tcW w:w="8856" w:type="dxa"/>
          </w:tcPr>
          <w:p w:rsidR="00680E4C" w:rsidRPr="00FE24C0" w:rsidRDefault="003F5785" w:rsidP="00365F35">
            <w:pPr>
              <w:tabs>
                <w:tab w:val="right" w:pos="9638"/>
              </w:tabs>
              <w:spacing w:after="0"/>
            </w:pPr>
            <w:r w:rsidRPr="003F5785">
              <w:rPr>
                <w:noProof/>
                <w:lang w:eastAsia="en-US"/>
              </w:rPr>
              <w:lastRenderedPageBreak/>
              <w:pict>
                <v:rect id="Rectangle 99" o:spid="_x0000_s1131" style="position:absolute;left:0;text-align:left;margin-left:378.15pt;margin-top:173.45pt;width:59.5pt;height:1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" filled="f" strokecolor="red" strokeweight="1.5pt"/>
              </w:pict>
            </w:r>
            <w:r w:rsidRPr="003F5785">
              <w:rPr>
                <w:noProof/>
                <w:lang w:eastAsia="en-US"/>
              </w:rPr>
              <w:pict>
                <v:rect id="Rectangle 98" o:spid="_x0000_s1130" style="position:absolute;left:0;text-align:left;margin-left:.3pt;margin-top:52.65pt;width:40.05pt;height:23.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" filled="f" strokecolor="red" strokeweight="1.5pt"/>
              </w:pict>
            </w:r>
            <w:r w:rsidR="00193F63" w:rsidRPr="00FE24C0">
              <w:rPr>
                <w:noProof/>
                <w:lang w:val="es-AR" w:eastAsia="es-AR"/>
              </w:rPr>
              <w:drawing>
                <wp:inline distT="0" distB="0" distL="0" distR="0">
                  <wp:extent cx="2545080" cy="1701165"/>
                  <wp:effectExtent l="19050" t="0" r="7620" b="0"/>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r="67666" b="61496"/>
                          <a:stretch>
                            <a:fillRect/>
                          </a:stretch>
                        </pic:blipFill>
                        <pic:spPr bwMode="auto">
                          <a:xfrm>
                            <a:off x="0" y="0"/>
                            <a:ext cx="2545080" cy="1701165"/>
                          </a:xfrm>
                          <a:prstGeom prst="rect">
                            <a:avLst/>
                          </a:prstGeom>
                          <a:noFill/>
                          <a:ln w="9525">
                            <a:noFill/>
                            <a:miter lim="800000"/>
                            <a:headEnd/>
                            <a:tailEnd/>
                          </a:ln>
                        </pic:spPr>
                      </pic:pic>
                    </a:graphicData>
                  </a:graphic>
                </wp:inline>
              </w:drawing>
            </w:r>
            <w:r w:rsidR="00444F9A" w:rsidRPr="00FE24C0">
              <w:tab/>
            </w:r>
            <w:r w:rsidR="00193F63" w:rsidRPr="00FE24C0">
              <w:rPr>
                <w:noProof/>
                <w:lang w:val="es-AR" w:eastAsia="es-AR"/>
              </w:rPr>
              <w:drawing>
                <wp:inline distT="0" distB="0" distL="0" distR="0">
                  <wp:extent cx="2636520" cy="2345690"/>
                  <wp:effectExtent l="19050" t="0" r="0" b="0"/>
                  <wp:docPr id="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r="60823" b="37950"/>
                          <a:stretch>
                            <a:fillRect/>
                          </a:stretch>
                        </pic:blipFill>
                        <pic:spPr bwMode="auto">
                          <a:xfrm>
                            <a:off x="0" y="0"/>
                            <a:ext cx="2636520" cy="2345690"/>
                          </a:xfrm>
                          <a:prstGeom prst="rect">
                            <a:avLst/>
                          </a:prstGeom>
                          <a:noFill/>
                          <a:ln w="9525">
                            <a:noFill/>
                            <a:miter lim="800000"/>
                            <a:headEnd/>
                            <a:tailEnd/>
                          </a:ln>
                        </pic:spPr>
                      </pic:pic>
                    </a:graphicData>
                  </a:graphic>
                </wp:inline>
              </w:drawing>
            </w:r>
          </w:p>
        </w:tc>
      </w:tr>
      <w:tr w:rsidR="00680E4C" w:rsidRPr="00FE24C0" w:rsidTr="00B13EA3">
        <w:trPr>
          <w:trHeight w:val="397"/>
        </w:trPr>
        <w:tc>
          <w:tcPr>
            <w:tcW w:w="8856" w:type="dxa"/>
          </w:tcPr>
          <w:p w:rsidR="00680E4C" w:rsidRPr="00FE24C0" w:rsidRDefault="00444F9A" w:rsidP="00365F35">
            <w:pPr>
              <w:tabs>
                <w:tab w:val="center" w:pos="1916"/>
                <w:tab w:val="center" w:pos="7438"/>
                <w:tab w:val="right" w:pos="9638"/>
              </w:tabs>
              <w:spacing w:after="0"/>
              <w:rPr>
                <w:noProof/>
                <w:sz w:val="16"/>
                <w:szCs w:val="16"/>
                <w:lang w:eastAsia="es-AR"/>
              </w:rPr>
            </w:pPr>
            <w:r w:rsidRPr="00FE24C0">
              <w:rPr>
                <w:noProof/>
                <w:sz w:val="16"/>
                <w:szCs w:val="16"/>
                <w:lang w:eastAsia="es-AR"/>
              </w:rPr>
              <w:tab/>
              <w:t>(a) Office Button</w:t>
            </w:r>
            <w:r w:rsidRPr="00FE24C0">
              <w:rPr>
                <w:noProof/>
                <w:sz w:val="16"/>
                <w:szCs w:val="16"/>
                <w:lang w:eastAsia="es-AR"/>
              </w:rPr>
              <w:tab/>
              <w:t>(b) Excel Options</w:t>
            </w:r>
          </w:p>
        </w:tc>
      </w:tr>
      <w:tr w:rsidR="00680E4C" w:rsidRPr="00FE24C0" w:rsidTr="00B13EA3">
        <w:trPr>
          <w:trHeight w:val="3636"/>
        </w:trPr>
        <w:tc>
          <w:tcPr>
            <w:tcW w:w="8856" w:type="dxa"/>
          </w:tcPr>
          <w:p w:rsidR="00680E4C" w:rsidRPr="00FE24C0" w:rsidRDefault="003F5785" w:rsidP="00365F35">
            <w:pPr>
              <w:tabs>
                <w:tab w:val="right" w:pos="9638"/>
              </w:tabs>
              <w:spacing w:after="0"/>
              <w:jc w:val="center"/>
            </w:pPr>
            <w:r w:rsidRPr="003F5785">
              <w:rPr>
                <w:noProof/>
                <w:lang w:eastAsia="en-US"/>
              </w:rPr>
              <w:pict>
                <v:shapetype id="_x0000_t32" coordsize="21600,21600" o:spt="32" o:oned="t" path="m,l21600,21600e" filled="f">
                  <v:path arrowok="t" fillok="f" o:connecttype="none"/>
                  <o:lock v:ext="edit" shapetype="t"/>
                </v:shapetype>
                <v:shape id="AutoShape 102" o:spid="_x0000_s1129" type="#_x0000_t32" style="position:absolute;left:0;text-align:left;margin-left:145.55pt;margin-top:111.65pt;width:166.6pt;height:48.9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" strokecolor="red" strokeweight="1.5pt">
                  <v:stroke endarrow="block"/>
                </v:shape>
              </w:pict>
            </w:r>
            <w:r w:rsidRPr="003F5785">
              <w:rPr>
                <w:noProof/>
                <w:lang w:eastAsia="en-US"/>
              </w:rPr>
              <w:pict>
                <v:rect id="Rectangle 101" o:spid="_x0000_s1128" style="position:absolute;left:0;text-align:left;margin-left:312.15pt;margin-top:150.55pt;width:100.1pt;height:19.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" filled="f" strokecolor="red" strokeweight="1.5pt"/>
              </w:pict>
            </w:r>
            <w:r w:rsidRPr="003F5785">
              <w:rPr>
                <w:noProof/>
                <w:lang w:eastAsia="en-US"/>
              </w:rPr>
              <w:pict>
                <v:rect id="Rectangle 100" o:spid="_x0000_s1127" style="position:absolute;left:0;text-align:left;margin-left:81.65pt;margin-top:100.9pt;width:63.9pt;height:19.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" filled="f" strokecolor="red" strokeweight="1.5pt"/>
              </w:pict>
            </w:r>
            <w:r w:rsidR="00193F63" w:rsidRPr="00FE24C0">
              <w:rPr>
                <w:noProof/>
                <w:lang w:val="es-AR" w:eastAsia="es-AR"/>
              </w:rPr>
              <w:drawing>
                <wp:inline distT="0" distB="0" distL="0" distR="0">
                  <wp:extent cx="4401875" cy="2188791"/>
                  <wp:effectExtent l="19050" t="0" r="0" b="0"/>
                  <wp:docPr id="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r="35006" b="42556"/>
                          <a:stretch>
                            <a:fillRect/>
                          </a:stretch>
                        </pic:blipFill>
                        <pic:spPr bwMode="auto">
                          <a:xfrm>
                            <a:off x="0" y="0"/>
                            <a:ext cx="4401875" cy="2188791"/>
                          </a:xfrm>
                          <a:prstGeom prst="rect">
                            <a:avLst/>
                          </a:prstGeom>
                          <a:noFill/>
                          <a:ln w="9525">
                            <a:noFill/>
                            <a:miter lim="800000"/>
                            <a:headEnd/>
                            <a:tailEnd/>
                          </a:ln>
                        </pic:spPr>
                      </pic:pic>
                    </a:graphicData>
                  </a:graphic>
                </wp:inline>
              </w:drawing>
            </w:r>
          </w:p>
        </w:tc>
      </w:tr>
      <w:tr w:rsidR="00680E4C" w:rsidRPr="00FE24C0" w:rsidTr="00B13EA3">
        <w:trPr>
          <w:trHeight w:val="413"/>
        </w:trPr>
        <w:tc>
          <w:tcPr>
            <w:tcW w:w="8856" w:type="dxa"/>
          </w:tcPr>
          <w:p w:rsidR="00680E4C" w:rsidRPr="00FE24C0" w:rsidRDefault="00444F9A" w:rsidP="00365F35">
            <w:pPr>
              <w:tabs>
                <w:tab w:val="right" w:pos="9638"/>
              </w:tabs>
              <w:spacing w:after="0"/>
              <w:jc w:val="center"/>
              <w:rPr>
                <w:noProof/>
                <w:sz w:val="16"/>
                <w:szCs w:val="16"/>
                <w:lang w:eastAsia="es-AR"/>
              </w:rPr>
            </w:pPr>
            <w:r w:rsidRPr="00FE24C0">
              <w:rPr>
                <w:noProof/>
                <w:sz w:val="16"/>
                <w:szCs w:val="16"/>
                <w:lang w:eastAsia="es-AR"/>
              </w:rPr>
              <w:t xml:space="preserve">(c) Trust Center </w:t>
            </w:r>
          </w:p>
        </w:tc>
      </w:tr>
      <w:tr w:rsidR="00680E4C" w:rsidRPr="00FE24C0" w:rsidTr="00B13EA3">
        <w:trPr>
          <w:trHeight w:val="3271"/>
        </w:trPr>
        <w:tc>
          <w:tcPr>
            <w:tcW w:w="8856" w:type="dxa"/>
          </w:tcPr>
          <w:p w:rsidR="00680E4C" w:rsidRPr="00FE24C0" w:rsidRDefault="003F5785" w:rsidP="00365F35">
            <w:pPr>
              <w:tabs>
                <w:tab w:val="right" w:pos="9638"/>
              </w:tabs>
              <w:spacing w:after="0"/>
              <w:jc w:val="center"/>
              <w:rPr>
                <w:noProof/>
                <w:lang w:eastAsia="es-AR"/>
              </w:rPr>
            </w:pPr>
            <w:r w:rsidRPr="003F5785">
              <w:rPr>
                <w:noProof/>
                <w:lang w:eastAsia="en-US"/>
              </w:rPr>
              <w:pict>
                <v:shape id="AutoShape 105" o:spid="_x0000_s1126" type="#_x0000_t32" style="position:absolute;left:0;text-align:left;margin-left:166.35pt;margin-top:65.85pt;width:10.7pt;height:10.75pt;flip: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" strokecolor="red" strokeweight="1.5pt">
                  <v:stroke endarrow="block"/>
                </v:shape>
              </w:pict>
            </w:r>
            <w:r w:rsidRPr="003F5785">
              <w:rPr>
                <w:noProof/>
                <w:lang w:eastAsia="en-US"/>
              </w:rPr>
              <w:pict>
                <v:rect id="Rectangle 104" o:spid="_x0000_s1125" style="position:absolute;left:0;text-align:left;margin-left:177.05pt;margin-top:57.2pt;width:165.05pt;height:1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" filled="f" strokecolor="red" strokeweight="1.5pt"/>
              </w:pict>
            </w:r>
            <w:r w:rsidRPr="003F5785">
              <w:rPr>
                <w:noProof/>
                <w:lang w:eastAsia="en-US"/>
              </w:rPr>
              <w:pict>
                <v:rect id="Rectangle 103" o:spid="_x0000_s1124" style="position:absolute;left:0;text-align:left;margin-left:102.45pt;margin-top:65.85pt;width:63.9pt;height:19.4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" filled="f" strokecolor="red" strokeweight="1.5pt"/>
              </w:pict>
            </w:r>
            <w:r w:rsidR="00193F63" w:rsidRPr="00FE24C0">
              <w:rPr>
                <w:noProof/>
                <w:lang w:val="es-AR" w:eastAsia="es-AR"/>
              </w:rPr>
              <w:drawing>
                <wp:inline distT="0" distB="0" distL="0" distR="0">
                  <wp:extent cx="4044067" cy="1956021"/>
                  <wp:effectExtent l="19050" t="0" r="0" b="0"/>
                  <wp:docPr id="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r="33821" b="43015"/>
                          <a:stretch>
                            <a:fillRect/>
                          </a:stretch>
                        </pic:blipFill>
                        <pic:spPr bwMode="auto">
                          <a:xfrm>
                            <a:off x="0" y="0"/>
                            <a:ext cx="4044067" cy="1956021"/>
                          </a:xfrm>
                          <a:prstGeom prst="rect">
                            <a:avLst/>
                          </a:prstGeom>
                          <a:noFill/>
                          <a:ln w="9525">
                            <a:noFill/>
                            <a:miter lim="800000"/>
                            <a:headEnd/>
                            <a:tailEnd/>
                          </a:ln>
                        </pic:spPr>
                      </pic:pic>
                    </a:graphicData>
                  </a:graphic>
                </wp:inline>
              </w:drawing>
            </w:r>
          </w:p>
        </w:tc>
      </w:tr>
      <w:tr w:rsidR="00680E4C" w:rsidRPr="00FE24C0" w:rsidTr="00B13EA3">
        <w:trPr>
          <w:trHeight w:val="413"/>
        </w:trPr>
        <w:tc>
          <w:tcPr>
            <w:tcW w:w="8856" w:type="dxa"/>
          </w:tcPr>
          <w:p w:rsidR="00680E4C" w:rsidRPr="00FE24C0" w:rsidRDefault="00444F9A" w:rsidP="00680E4C">
            <w:pPr>
              <w:tabs>
                <w:tab w:val="right" w:pos="9638"/>
              </w:tabs>
              <w:jc w:val="center"/>
              <w:rPr>
                <w:noProof/>
                <w:sz w:val="16"/>
                <w:szCs w:val="16"/>
                <w:lang w:eastAsia="es-AR"/>
              </w:rPr>
            </w:pPr>
            <w:r w:rsidRPr="00FE24C0">
              <w:rPr>
                <w:noProof/>
                <w:sz w:val="16"/>
                <w:szCs w:val="16"/>
                <w:lang w:eastAsia="es-AR"/>
              </w:rPr>
              <w:t>(d) Macro Settings =&gt; Disable all macros with notification</w:t>
            </w:r>
          </w:p>
        </w:tc>
      </w:tr>
      <w:tr w:rsidR="00680E4C" w:rsidRPr="00FE24C0" w:rsidTr="00B13EA3">
        <w:trPr>
          <w:trHeight w:val="413"/>
        </w:trPr>
        <w:tc>
          <w:tcPr>
            <w:tcW w:w="8856" w:type="dxa"/>
          </w:tcPr>
          <w:p w:rsidR="00680E4C" w:rsidRPr="00FE24C0" w:rsidRDefault="00444F9A" w:rsidP="00680E4C">
            <w:pPr>
              <w:tabs>
                <w:tab w:val="right" w:pos="9638"/>
              </w:tabs>
              <w:jc w:val="left"/>
              <w:rPr>
                <w:b/>
                <w:noProof/>
                <w:sz w:val="16"/>
                <w:szCs w:val="16"/>
                <w:lang w:eastAsia="es-AR"/>
              </w:rPr>
            </w:pPr>
            <w:r w:rsidRPr="00FE24C0">
              <w:rPr>
                <w:b/>
                <w:noProof/>
                <w:sz w:val="16"/>
                <w:szCs w:val="16"/>
                <w:lang w:eastAsia="es-AR"/>
              </w:rPr>
              <w:t>Figure A</w:t>
            </w:r>
            <w:r w:rsidR="0043546F">
              <w:rPr>
                <w:b/>
                <w:noProof/>
                <w:sz w:val="16"/>
                <w:szCs w:val="16"/>
                <w:lang w:eastAsia="es-AR"/>
              </w:rPr>
              <w:t>2</w:t>
            </w:r>
            <w:r w:rsidRPr="00FE24C0">
              <w:rPr>
                <w:b/>
                <w:noProof/>
                <w:sz w:val="16"/>
                <w:szCs w:val="16"/>
                <w:lang w:eastAsia="es-AR"/>
              </w:rPr>
              <w:t>.1: Enabling Macros in Excel® 2007.</w:t>
            </w:r>
          </w:p>
        </w:tc>
      </w:tr>
    </w:tbl>
    <w:p w:rsidR="00680E4C" w:rsidRPr="00FE24C0" w:rsidRDefault="00444F9A" w:rsidP="00593B59">
      <w:pPr>
        <w:pStyle w:val="Prrafodelista"/>
        <w:numPr>
          <w:ilvl w:val="0"/>
          <w:numId w:val="14"/>
        </w:numPr>
        <w:spacing w:after="0" w:line="240" w:lineRule="auto"/>
        <w:ind w:left="850" w:firstLine="0"/>
        <w:outlineLvl w:val="9"/>
        <w:rPr>
          <w:rFonts w:ascii="Times New Roman" w:hAnsi="Times New Roman"/>
        </w:rPr>
      </w:pPr>
      <w:r w:rsidRPr="00FE24C0">
        <w:rPr>
          <w:rFonts w:ascii="Times New Roman" w:hAnsi="Times New Roman"/>
        </w:rPr>
        <w:lastRenderedPageBreak/>
        <w:t xml:space="preserve">Filling with average: the data was filled using the historical percentage change </w:t>
      </w:r>
      <w:r w:rsidRPr="00FE24C0">
        <w:rPr>
          <w:rFonts w:ascii="Times New Roman" w:hAnsi="Times New Roman"/>
          <w:i/>
        </w:rPr>
        <w:t>corresponding to the month</w:t>
      </w:r>
      <w:r w:rsidRPr="00FE24C0">
        <w:rPr>
          <w:rFonts w:ascii="Times New Roman" w:hAnsi="Times New Roman"/>
        </w:rPr>
        <w:t xml:space="preserve"> in which the datum is missed. For example, if in a pixel the datum of June 2000 is missed, the filling was made using the historical percentage change between May and June (by averaging all the years in which there is data in May and June) and applying that percentage change to the observed datum of May 2000 (See example in Section 5.1 </w:t>
      </w:r>
      <w:r w:rsidR="00DF06BA">
        <w:rPr>
          <w:rFonts w:ascii="Times New Roman" w:hAnsi="Times New Roman"/>
        </w:rPr>
        <w:t xml:space="preserve">of this aAnnex </w:t>
      </w:r>
      <w:r w:rsidRPr="00FE24C0">
        <w:rPr>
          <w:rFonts w:ascii="Times New Roman" w:hAnsi="Times New Roman"/>
        </w:rPr>
        <w:t>for further details).</w:t>
      </w:r>
    </w:p>
    <w:p w:rsidR="00193F63" w:rsidRPr="00FE24C0" w:rsidRDefault="00193F63" w:rsidP="004E79BD">
      <w:pPr>
        <w:pStyle w:val="Prrafodelista"/>
        <w:spacing w:after="0" w:line="240" w:lineRule="auto"/>
        <w:ind w:left="850"/>
        <w:outlineLvl w:val="9"/>
        <w:rPr>
          <w:rFonts w:ascii="Times New Roman" w:hAnsi="Times New Roman"/>
        </w:rPr>
      </w:pPr>
    </w:p>
    <w:p w:rsidR="00680E4C" w:rsidRPr="00FE24C0" w:rsidRDefault="00444F9A" w:rsidP="00593B59">
      <w:pPr>
        <w:pStyle w:val="Prrafodelista"/>
        <w:numPr>
          <w:ilvl w:val="0"/>
          <w:numId w:val="14"/>
        </w:numPr>
        <w:spacing w:after="0" w:line="240" w:lineRule="auto"/>
        <w:ind w:left="850" w:firstLine="0"/>
        <w:outlineLvl w:val="9"/>
        <w:rPr>
          <w:rFonts w:ascii="Times New Roman" w:hAnsi="Times New Roman"/>
        </w:rPr>
      </w:pPr>
      <w:r w:rsidRPr="00FE24C0">
        <w:rPr>
          <w:rFonts w:ascii="Times New Roman" w:hAnsi="Times New Roman"/>
        </w:rPr>
        <w:t xml:space="preserve">Filling with </w:t>
      </w:r>
      <w:r w:rsidR="00FC6FD1" w:rsidRPr="00FE24C0">
        <w:rPr>
          <w:rFonts w:ascii="Times New Roman" w:hAnsi="Times New Roman"/>
        </w:rPr>
        <w:t>minimum</w:t>
      </w:r>
      <w:r w:rsidRPr="00FE24C0">
        <w:rPr>
          <w:rFonts w:ascii="Times New Roman" w:hAnsi="Times New Roman"/>
        </w:rPr>
        <w:t>: the technique is similar to the previous, but, instead of averaging the historical percentage changes, the minimum historical percentage change was applied to the previous actual observed data.</w:t>
      </w:r>
    </w:p>
    <w:p w:rsidR="00680E4C" w:rsidRPr="00FE24C0" w:rsidRDefault="00680E4C" w:rsidP="00680E4C"/>
    <w:p w:rsidR="00680E4C" w:rsidRPr="00FE24C0" w:rsidRDefault="00680E4C" w:rsidP="00680E4C">
      <w:pPr>
        <w:rPr>
          <w:b/>
          <w:u w:val="single"/>
        </w:rPr>
      </w:pPr>
      <w:r w:rsidRPr="00FE24C0">
        <w:rPr>
          <w:b/>
          <w:u w:val="single"/>
        </w:rPr>
        <w:t>1994 data</w:t>
      </w:r>
    </w:p>
    <w:p w:rsidR="00680E4C" w:rsidRPr="00FE24C0" w:rsidRDefault="00444F9A" w:rsidP="004E79BD">
      <w:pPr>
        <w:spacing w:after="0"/>
      </w:pPr>
      <w:r w:rsidRPr="00FE24C0">
        <w:t xml:space="preserve">Due to the high number of missing data in 1994, a differential </w:t>
      </w:r>
      <w:r w:rsidR="00DF06BA">
        <w:t>procedure</w:t>
      </w:r>
      <w:r w:rsidR="00DF06BA" w:rsidRPr="00FE24C0">
        <w:t xml:space="preserve"> </w:t>
      </w:r>
      <w:r w:rsidRPr="00FE24C0">
        <w:t xml:space="preserve">has been </w:t>
      </w:r>
      <w:r w:rsidR="00DF06BA">
        <w:t>applied for this year</w:t>
      </w:r>
      <w:r w:rsidRPr="00FE24C0">
        <w:t>. In order to fill the gaps in 1994, the rating model allows to choose between any of the filling techniques described above (average or minimum), or replace all the data in 19</w:t>
      </w:r>
      <w:r w:rsidR="00B13EA3">
        <w:t xml:space="preserve">94 with any other year in </w:t>
      </w:r>
      <w:r w:rsidRPr="00FE24C0">
        <w:t>database.</w:t>
      </w:r>
      <w:r w:rsidR="00FC6FD1" w:rsidRPr="00FE24C0">
        <w:t xml:space="preserve"> </w:t>
      </w:r>
      <w:r w:rsidRPr="00FE24C0">
        <w:t>Moreover, the insurance design and rating allows “to punish” 1994 with a multiplicative adjustment factor applied to data in that year. In case the factor equals 1 there is no punishment, while a factor between 0 and 1 reduces the data in that year proportionally. An actual punishment will be applied when the factor is greater than 1. Therefore, the datum actually used by the model for each month in 1994 in each cluster will be calculated as:</w:t>
      </w:r>
    </w:p>
    <w:p w:rsidR="00680E4C" w:rsidRPr="00FE24C0" w:rsidRDefault="00680E4C" w:rsidP="00680E4C">
      <w:pPr>
        <w:ind w:left="207"/>
        <w:jc w:val="center"/>
        <w:rPr>
          <w:position w:val="-14"/>
        </w:rPr>
      </w:pPr>
      <w:r w:rsidRPr="00FE24C0">
        <w:rPr>
          <w:position w:val="-14"/>
        </w:rPr>
        <w:object w:dxaOrig="4680" w:dyaOrig="400">
          <v:shape id="_x0000_i1033" type="#_x0000_t75" style="width:234.75pt;height:20.25pt" o:ole="">
            <v:imagedata r:id="rId86" o:title=""/>
          </v:shape>
          <o:OLEObject Type="Embed" ProgID="Equation.DSMT4" ShapeID="_x0000_i1033" DrawAspect="Content" ObjectID="_1419536172" r:id="rId87"/>
        </w:object>
      </w:r>
    </w:p>
    <w:p w:rsidR="00680E4C" w:rsidRDefault="00444F9A" w:rsidP="00680E4C">
      <w:proofErr w:type="gramStart"/>
      <w:r w:rsidRPr="00FE24C0">
        <w:t>where</w:t>
      </w:r>
      <w:proofErr w:type="gramEnd"/>
      <w:r w:rsidRPr="00FE24C0">
        <w:t xml:space="preserve"> </w:t>
      </w:r>
      <w:r w:rsidRPr="00FE24C0">
        <w:rPr>
          <w:i/>
        </w:rPr>
        <w:t>AdjFactor’94</w:t>
      </w:r>
      <w:r w:rsidRPr="00FE24C0">
        <w:t xml:space="preserve"> is the mentioned multiplicative adjustment factor.</w:t>
      </w:r>
    </w:p>
    <w:p w:rsidR="00843EDE" w:rsidRPr="00FE24C0" w:rsidRDefault="00843EDE" w:rsidP="00680E4C"/>
    <w:p w:rsidR="00680E4C" w:rsidRPr="00FE24C0" w:rsidRDefault="00FC6FD1" w:rsidP="00680E4C">
      <w:pPr>
        <w:pStyle w:val="Ttulo2"/>
        <w:keepLines w:val="0"/>
        <w:numPr>
          <w:ilvl w:val="1"/>
          <w:numId w:val="0"/>
        </w:numPr>
        <w:tabs>
          <w:tab w:val="num" w:pos="576"/>
        </w:tabs>
        <w:spacing w:before="240" w:after="60"/>
        <w:ind w:left="576" w:hanging="576"/>
      </w:pPr>
      <w:bookmarkStart w:id="58" w:name="_Toc337309981"/>
      <w:r w:rsidRPr="00FE24C0">
        <w:t>3.2</w:t>
      </w:r>
      <w:r w:rsidR="006E1CFE" w:rsidRPr="00FE24C0">
        <w:t xml:space="preserve">. </w:t>
      </w:r>
      <w:r w:rsidRPr="00FE24C0">
        <w:t xml:space="preserve"> </w:t>
      </w:r>
      <w:r w:rsidR="00680E4C" w:rsidRPr="00FE24C0">
        <w:t>Homogeneous Risk Zones (HRZ), Insured Units and underlying Index</w:t>
      </w:r>
      <w:bookmarkEnd w:id="58"/>
    </w:p>
    <w:p w:rsidR="006E1CFE" w:rsidRPr="00FE24C0" w:rsidRDefault="006E1CFE" w:rsidP="004E79BD">
      <w:pPr>
        <w:spacing w:after="0"/>
      </w:pPr>
    </w:p>
    <w:p w:rsidR="00680E4C" w:rsidRPr="00FE24C0" w:rsidRDefault="00444F9A" w:rsidP="004E79BD">
      <w:pPr>
        <w:spacing w:after="0"/>
      </w:pPr>
      <w:r w:rsidRPr="00FE24C0">
        <w:t xml:space="preserve">In order to calculate the main parameters of the model, and to perform the ratemaking, the zones in SWBA have been clustered according to the similarity in NDVI time series. </w:t>
      </w:r>
      <w:r w:rsidR="007C4AD2">
        <w:t>T</w:t>
      </w:r>
      <w:r w:rsidRPr="00FE24C0">
        <w:t>he statistical technique of Cluster Analysis</w:t>
      </w:r>
      <w:r w:rsidR="007C4AD2">
        <w:t xml:space="preserve"> has been applied to the data</w:t>
      </w:r>
      <w:r w:rsidR="007C4AD2" w:rsidRPr="00FE24C0">
        <w:t>, particularly the procedure of Hierarchical Cluster Analysis</w:t>
      </w:r>
      <w:r w:rsidR="007C4AD2">
        <w:t xml:space="preserve"> allowed to analize</w:t>
      </w:r>
      <w:r w:rsidRPr="00FE24C0">
        <w:t xml:space="preserve"> the homogeneity of the pixels in each Cuartel inside each one of the 12 </w:t>
      </w:r>
      <w:r w:rsidR="00865CC5">
        <w:t>Departments</w:t>
      </w:r>
      <w:r w:rsidRPr="00FE24C0">
        <w:t xml:space="preserve"> in SWBA. As result, it has been found heterogeneity between pixels belonging to the same Cuartel, and the Cuartels have been divided in Homogeneous Risk Zones (HRZ). </w:t>
      </w:r>
    </w:p>
    <w:p w:rsidR="006E1CFE" w:rsidRPr="00FE24C0" w:rsidRDefault="006E1CFE" w:rsidP="004E79BD">
      <w:pPr>
        <w:spacing w:after="0"/>
      </w:pPr>
    </w:p>
    <w:p w:rsidR="00680E4C" w:rsidRPr="00FE24C0" w:rsidRDefault="00444F9A" w:rsidP="004E79BD">
      <w:pPr>
        <w:spacing w:after="0"/>
      </w:pPr>
      <w:r w:rsidRPr="00FE24C0">
        <w:t>Besides the Cluster Analysis has shown heterogeneity inside each Cuartel, the Insured Units are the Cuarte</w:t>
      </w:r>
      <w:r w:rsidR="00153160" w:rsidRPr="00FE24C0">
        <w:t>l</w:t>
      </w:r>
      <w:r w:rsidRPr="00FE24C0">
        <w:t xml:space="preserve">s (administrative units), because in a macro-level scheme, from an operational point of view, it is more convenient to make the insurance payouts using a political-administrative division, instead of a division obtained by statistical techniques. </w:t>
      </w:r>
    </w:p>
    <w:p w:rsidR="006E1CFE" w:rsidRPr="00FE24C0" w:rsidRDefault="006E1CFE" w:rsidP="004E79BD">
      <w:pPr>
        <w:spacing w:after="0"/>
      </w:pPr>
    </w:p>
    <w:p w:rsidR="00680E4C" w:rsidRDefault="00444F9A" w:rsidP="004E79BD">
      <w:pPr>
        <w:spacing w:after="0"/>
      </w:pPr>
      <w:r w:rsidRPr="00FE24C0">
        <w:t>In the rating model, the underlying Index used in each Cuartel (Insured Unit) was the average NDVI of the pixels belonging to the more representative cluster (HRZ). For instance, if one "Cuartel" has two "HRZ", one with 5 pixels and the other one with 2 pixels, for purposes of product design and ratemaking of the insurance, the average of the 5 pixels belonging to the first groups was used.</w:t>
      </w:r>
    </w:p>
    <w:p w:rsidR="00843EDE" w:rsidRPr="00FE24C0" w:rsidRDefault="00843EDE" w:rsidP="004E79BD">
      <w:pPr>
        <w:spacing w:after="0"/>
      </w:pPr>
    </w:p>
    <w:p w:rsidR="00680E4C" w:rsidRPr="00FE24C0" w:rsidRDefault="00153160" w:rsidP="00680E4C">
      <w:pPr>
        <w:pStyle w:val="Ttulo2"/>
        <w:keepLines w:val="0"/>
        <w:numPr>
          <w:ilvl w:val="1"/>
          <w:numId w:val="0"/>
        </w:numPr>
        <w:tabs>
          <w:tab w:val="num" w:pos="576"/>
        </w:tabs>
        <w:spacing w:before="240" w:after="60"/>
        <w:ind w:left="576" w:hanging="576"/>
      </w:pPr>
      <w:bookmarkStart w:id="59" w:name="_Toc337309982"/>
      <w:r w:rsidRPr="00FE24C0">
        <w:lastRenderedPageBreak/>
        <w:t>3.3</w:t>
      </w:r>
      <w:r w:rsidR="006E1CFE" w:rsidRPr="00FE24C0">
        <w:t>.</w:t>
      </w:r>
      <w:r w:rsidRPr="00FE24C0">
        <w:t xml:space="preserve"> </w:t>
      </w:r>
      <w:r w:rsidR="00680E4C" w:rsidRPr="00FE24C0">
        <w:t>Cover period and Sum Insured allocation</w:t>
      </w:r>
      <w:bookmarkEnd w:id="59"/>
    </w:p>
    <w:p w:rsidR="000C6233" w:rsidRPr="00FE24C0" w:rsidRDefault="000C6233">
      <w:pPr>
        <w:spacing w:after="0"/>
      </w:pPr>
    </w:p>
    <w:p w:rsidR="000C6233" w:rsidRPr="00FE24C0" w:rsidRDefault="00444F9A">
      <w:pPr>
        <w:spacing w:after="0"/>
      </w:pPr>
      <w:r w:rsidRPr="00FE24C0">
        <w:t>The cover period includes three month in autumn (Mach, April and May) and three months in spring (September, October and November).</w:t>
      </w:r>
    </w:p>
    <w:p w:rsidR="000C6233" w:rsidRPr="00FE24C0" w:rsidRDefault="000C6233">
      <w:pPr>
        <w:spacing w:after="0"/>
      </w:pPr>
    </w:p>
    <w:p w:rsidR="000C6233" w:rsidRPr="00FE24C0" w:rsidRDefault="00444F9A">
      <w:pPr>
        <w:spacing w:after="0"/>
      </w:pPr>
      <w:r w:rsidRPr="00FE24C0">
        <w:t xml:space="preserve">The total annual Sum Insured is allocated in each one of the covered month according to the feed requirements of the herd. Table </w:t>
      </w:r>
      <w:r w:rsidR="002558DC" w:rsidRPr="00FE24C0">
        <w:t>A</w:t>
      </w:r>
      <w:r w:rsidR="0043546F">
        <w:t>2.</w:t>
      </w:r>
      <w:r w:rsidRPr="00FE24C0">
        <w:t>2 shows the nutritional requirements for each month of the year, expressed in “Cow Equivalents”, where the cover period is highlighted.</w:t>
      </w:r>
    </w:p>
    <w:p w:rsidR="00680E4C" w:rsidRPr="00FE24C0" w:rsidRDefault="00680E4C" w:rsidP="00680E4C"/>
    <w:tbl>
      <w:tblPr>
        <w:tblStyle w:val="Tablaconcuadrcula"/>
        <w:tblW w:w="0" w:type="auto"/>
        <w:tblLook w:val="04A0"/>
      </w:tblPr>
      <w:tblGrid>
        <w:gridCol w:w="8856"/>
      </w:tblGrid>
      <w:tr w:rsidR="00680E4C" w:rsidRPr="00FE24C0" w:rsidTr="007C4AD2">
        <w:trPr>
          <w:trHeight w:val="20"/>
        </w:trPr>
        <w:tc>
          <w:tcPr>
            <w:tcW w:w="8727" w:type="dxa"/>
          </w:tcPr>
          <w:p w:rsidR="00680E4C" w:rsidRPr="007C4AD2" w:rsidRDefault="00193F63" w:rsidP="007C4AD2">
            <w:pPr>
              <w:pStyle w:val="Encabezado"/>
              <w:tabs>
                <w:tab w:val="clear" w:pos="4320"/>
                <w:tab w:val="clear" w:pos="8640"/>
              </w:tabs>
              <w:spacing w:after="0"/>
              <w:rPr>
                <w:noProof/>
                <w:lang w:val="es-AR" w:eastAsia="es-AR"/>
              </w:rPr>
            </w:pPr>
            <w:r w:rsidRPr="007C4AD2">
              <w:rPr>
                <w:noProof/>
                <w:lang w:val="es-AR" w:eastAsia="es-AR"/>
              </w:rPr>
              <w:drawing>
                <wp:inline distT="0" distB="0" distL="0" distR="0">
                  <wp:extent cx="5523865" cy="610385"/>
                  <wp:effectExtent l="19050" t="0" r="635" b="0"/>
                  <wp:docPr id="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5523865" cy="610385"/>
                          </a:xfrm>
                          <a:prstGeom prst="rect">
                            <a:avLst/>
                          </a:prstGeom>
                          <a:noFill/>
                          <a:ln w="9525">
                            <a:noFill/>
                            <a:miter lim="800000"/>
                            <a:headEnd/>
                            <a:tailEnd/>
                          </a:ln>
                        </pic:spPr>
                      </pic:pic>
                    </a:graphicData>
                  </a:graphic>
                </wp:inline>
              </w:drawing>
            </w:r>
          </w:p>
        </w:tc>
      </w:tr>
      <w:tr w:rsidR="00680E4C" w:rsidRPr="00FE24C0" w:rsidTr="007C4AD2">
        <w:trPr>
          <w:trHeight w:val="20"/>
        </w:trPr>
        <w:tc>
          <w:tcPr>
            <w:tcW w:w="8727" w:type="dxa"/>
          </w:tcPr>
          <w:p w:rsidR="00680E4C" w:rsidRPr="00FE24C0" w:rsidRDefault="00444F9A" w:rsidP="007C4AD2">
            <w:pPr>
              <w:spacing w:after="0"/>
              <w:rPr>
                <w:b/>
                <w:sz w:val="16"/>
                <w:szCs w:val="16"/>
              </w:rPr>
            </w:pPr>
            <w:r w:rsidRPr="00FE24C0">
              <w:rPr>
                <w:b/>
                <w:sz w:val="16"/>
                <w:szCs w:val="16"/>
              </w:rPr>
              <w:t xml:space="preserve">Table </w:t>
            </w:r>
            <w:r w:rsidR="002558DC" w:rsidRPr="00FE24C0">
              <w:rPr>
                <w:b/>
                <w:sz w:val="16"/>
                <w:szCs w:val="16"/>
              </w:rPr>
              <w:t>A</w:t>
            </w:r>
            <w:r w:rsidR="0043546F">
              <w:rPr>
                <w:b/>
                <w:sz w:val="16"/>
                <w:szCs w:val="16"/>
              </w:rPr>
              <w:t>2.</w:t>
            </w:r>
            <w:r w:rsidRPr="00FE24C0">
              <w:rPr>
                <w:b/>
                <w:sz w:val="16"/>
                <w:szCs w:val="16"/>
              </w:rPr>
              <w:t>2. Nutritional requirements in each month of the year for cows and heifers, expressed in “cow equivalent”.</w:t>
            </w:r>
          </w:p>
        </w:tc>
      </w:tr>
    </w:tbl>
    <w:p w:rsidR="000C6233" w:rsidRPr="00FE24C0" w:rsidRDefault="000C6233">
      <w:pPr>
        <w:spacing w:after="0"/>
      </w:pPr>
    </w:p>
    <w:p w:rsidR="00680E4C" w:rsidRPr="00FE24C0" w:rsidRDefault="00444F9A" w:rsidP="004E79BD">
      <w:pPr>
        <w:spacing w:after="0"/>
      </w:pPr>
      <w:r w:rsidRPr="00FE24C0">
        <w:t xml:space="preserve">The Total Sum Insured allocated to each month of the coverage will be calculated according to the nutritional requirements, the number of cows and heifers in the Cuartel (Insured Unit) and the percentage of coverage desired. </w:t>
      </w:r>
    </w:p>
    <w:p w:rsidR="006E1CFE" w:rsidRPr="00FE24C0" w:rsidRDefault="006E1CFE" w:rsidP="004E79BD">
      <w:pPr>
        <w:spacing w:after="0"/>
      </w:pPr>
    </w:p>
    <w:p w:rsidR="00680E4C" w:rsidRPr="00FE24C0" w:rsidRDefault="00444F9A" w:rsidP="004E79BD">
      <w:pPr>
        <w:spacing w:after="0"/>
      </w:pPr>
      <w:r w:rsidRPr="00FE24C0">
        <w:t>Section 5.3 exposes an example of the calculation of the Total Annual Sum Insured, and its allocation to each month of the coverage.</w:t>
      </w:r>
    </w:p>
    <w:p w:rsidR="00680E4C" w:rsidRPr="00FE24C0" w:rsidRDefault="00153160" w:rsidP="00680E4C">
      <w:pPr>
        <w:pStyle w:val="Ttulo2"/>
        <w:keepLines w:val="0"/>
        <w:numPr>
          <w:ilvl w:val="1"/>
          <w:numId w:val="0"/>
        </w:numPr>
        <w:tabs>
          <w:tab w:val="num" w:pos="576"/>
        </w:tabs>
        <w:spacing w:before="240" w:after="60"/>
        <w:ind w:left="576" w:hanging="576"/>
      </w:pPr>
      <w:bookmarkStart w:id="60" w:name="_Toc337309983"/>
      <w:r w:rsidRPr="00FE24C0">
        <w:t xml:space="preserve">3.4. </w:t>
      </w:r>
      <w:r w:rsidR="00680E4C" w:rsidRPr="00FE24C0">
        <w:t>Payouts rules: Trigger and Exit</w:t>
      </w:r>
      <w:bookmarkEnd w:id="60"/>
    </w:p>
    <w:p w:rsidR="006E1CFE" w:rsidRPr="00FE24C0" w:rsidRDefault="006E1CFE" w:rsidP="004E79BD">
      <w:pPr>
        <w:spacing w:after="0"/>
      </w:pPr>
    </w:p>
    <w:p w:rsidR="00680E4C" w:rsidRPr="00FE24C0" w:rsidRDefault="00444F9A" w:rsidP="004E79BD">
      <w:pPr>
        <w:spacing w:after="0"/>
      </w:pPr>
      <w:r w:rsidRPr="00FE24C0">
        <w:t>The payouts of the insurance for each Cuartel are triggered when the Index (average NDVI of the pixels belonging to the more representative cluster) in any month of the cover period</w:t>
      </w:r>
      <w:proofErr w:type="gramStart"/>
      <w:r w:rsidRPr="00FE24C0">
        <w:t xml:space="preserve">, </w:t>
      </w:r>
      <w:proofErr w:type="gramEnd"/>
      <w:r w:rsidR="007C4AD2" w:rsidRPr="007C4AD2">
        <w:rPr>
          <w:position w:val="-10"/>
        </w:rPr>
        <w:object w:dxaOrig="260" w:dyaOrig="300">
          <v:shape id="_x0000_i1034" type="#_x0000_t75" style="width:12.75pt;height:15pt" o:ole="">
            <v:imagedata r:id="rId89" o:title=""/>
          </v:shape>
          <o:OLEObject Type="Embed" ProgID="Equation.DSMT4" ShapeID="_x0000_i1034" DrawAspect="Content" ObjectID="_1419536173" r:id="rId90"/>
        </w:object>
      </w:r>
      <w:r w:rsidRPr="00FE24C0">
        <w:t>, falls below a predetermined value for that month called Trigger Index (</w:t>
      </w:r>
      <w:r w:rsidR="007C4AD2" w:rsidRPr="007C4AD2">
        <w:rPr>
          <w:position w:val="-10"/>
        </w:rPr>
        <w:object w:dxaOrig="340" w:dyaOrig="300">
          <v:shape id="_x0000_i1035" type="#_x0000_t75" style="width:17.25pt;height:15pt" o:ole="">
            <v:imagedata r:id="rId91" o:title=""/>
          </v:shape>
          <o:OLEObject Type="Embed" ProgID="Equation.DSMT4" ShapeID="_x0000_i1035" DrawAspect="Content" ObjectID="_1419536174" r:id="rId92"/>
        </w:object>
      </w:r>
      <w:r w:rsidRPr="00FE24C0">
        <w:t>). In case the Index is lower than another monthly predetermined value called Exit Index (</w:t>
      </w:r>
      <w:r w:rsidR="007C4AD2" w:rsidRPr="007C4AD2">
        <w:rPr>
          <w:position w:val="-10"/>
        </w:rPr>
        <w:object w:dxaOrig="380" w:dyaOrig="300">
          <v:shape id="_x0000_i1036" type="#_x0000_t75" style="width:18.75pt;height:15pt" o:ole="">
            <v:imagedata r:id="rId93" o:title=""/>
          </v:shape>
          <o:OLEObject Type="Embed" ProgID="Equation.DSMT4" ShapeID="_x0000_i1036" DrawAspect="Content" ObjectID="_1419536175" r:id="rId94"/>
        </w:object>
      </w:r>
      <w:r w:rsidRPr="00FE24C0">
        <w:t>), the total Sum Insured allocated to that month (</w:t>
      </w:r>
      <w:r w:rsidR="0043546F" w:rsidRPr="0043546F">
        <w:rPr>
          <w:position w:val="-10"/>
        </w:rPr>
        <w:object w:dxaOrig="340" w:dyaOrig="300">
          <v:shape id="_x0000_i1037" type="#_x0000_t75" style="width:17.25pt;height:15pt" o:ole="">
            <v:imagedata r:id="rId95" o:title=""/>
          </v:shape>
          <o:OLEObject Type="Embed" ProgID="Equation.DSMT4" ShapeID="_x0000_i1037" DrawAspect="Content" ObjectID="_1419536176" r:id="rId96"/>
        </w:object>
      </w:r>
      <w:r w:rsidRPr="00FE24C0">
        <w:t xml:space="preserve">) is paid out. In case the observed Index value is between Trigger and Exit, there is a proportional payout. To avoid minimal payments, the insurance has a qualifying franchise (non deductible). </w:t>
      </w:r>
    </w:p>
    <w:p w:rsidR="0043546F" w:rsidRDefault="0043546F" w:rsidP="004E79BD">
      <w:pPr>
        <w:spacing w:after="0"/>
      </w:pPr>
    </w:p>
    <w:p w:rsidR="00680E4C" w:rsidRPr="00FE24C0" w:rsidRDefault="0043546F" w:rsidP="004E79BD">
      <w:pPr>
        <w:spacing w:after="0"/>
      </w:pPr>
      <w:r>
        <w:t>Therefore, t</w:t>
      </w:r>
      <w:r w:rsidR="00444F9A" w:rsidRPr="00FE24C0">
        <w:t>he loss in any month of the cover period is</w:t>
      </w:r>
      <w:r>
        <w:t xml:space="preserve"> calculated as follows</w:t>
      </w:r>
      <w:r w:rsidR="00444F9A" w:rsidRPr="00FE24C0">
        <w:t>:</w:t>
      </w:r>
    </w:p>
    <w:p w:rsidR="00680E4C" w:rsidRPr="00FE24C0" w:rsidRDefault="00680E4C" w:rsidP="00680E4C">
      <w:r w:rsidRPr="00FE24C0">
        <w:rPr>
          <w:position w:val="-68"/>
        </w:rPr>
        <w:object w:dxaOrig="5240" w:dyaOrig="1480">
          <v:shape id="_x0000_i1038" type="#_x0000_t75" style="width:262.5pt;height:1in" o:ole="">
            <v:imagedata r:id="rId97" o:title=""/>
          </v:shape>
          <o:OLEObject Type="Embed" ProgID="Equation.DSMT4" ShapeID="_x0000_i1038" DrawAspect="Content" ObjectID="_1419536177" r:id="rId98"/>
        </w:object>
      </w:r>
    </w:p>
    <w:p w:rsidR="00680E4C" w:rsidRPr="00FE24C0" w:rsidRDefault="00444F9A" w:rsidP="00680E4C">
      <w:r w:rsidRPr="00FE24C0">
        <w:t>The actual payout, including the franchise, is:</w:t>
      </w:r>
    </w:p>
    <w:p w:rsidR="00680E4C" w:rsidRPr="00FE24C0" w:rsidRDefault="00680E4C" w:rsidP="00680E4C">
      <w:r w:rsidRPr="00FE24C0">
        <w:rPr>
          <w:position w:val="-32"/>
        </w:rPr>
        <w:object w:dxaOrig="3680" w:dyaOrig="760">
          <v:shape id="_x0000_i1039" type="#_x0000_t75" style="width:184.5pt;height:36.75pt" o:ole="">
            <v:imagedata r:id="rId99" o:title=""/>
          </v:shape>
          <o:OLEObject Type="Embed" ProgID="Equation.DSMT4" ShapeID="_x0000_i1039" DrawAspect="Content" ObjectID="_1419536178" r:id="rId100"/>
        </w:object>
      </w:r>
    </w:p>
    <w:p w:rsidR="00680E4C" w:rsidRPr="00FE24C0" w:rsidRDefault="00444F9A" w:rsidP="00680E4C">
      <w:r w:rsidRPr="00FE24C0">
        <w:t>Note that the franchise is “non-deductible”: in case the loss is greater than the franchise, the full loss is paid out.</w:t>
      </w:r>
    </w:p>
    <w:p w:rsidR="00680E4C" w:rsidRPr="00FE24C0" w:rsidRDefault="00444F9A" w:rsidP="00680E4C">
      <w:r w:rsidRPr="00FE24C0">
        <w:lastRenderedPageBreak/>
        <w:t xml:space="preserve">Figure </w:t>
      </w:r>
      <w:r w:rsidR="0043546F">
        <w:t>A2.</w:t>
      </w:r>
      <w:r w:rsidRPr="00FE24C0">
        <w:t>2 illustrates the payout rule</w:t>
      </w:r>
      <w:r w:rsidR="0043546F">
        <w:t xml:space="preserve"> and</w:t>
      </w:r>
      <w:r w:rsidRPr="00FE24C0">
        <w:t xml:space="preserve"> Section 5.4 </w:t>
      </w:r>
      <w:r w:rsidR="00BF50F2">
        <w:t xml:space="preserve">of this Annex </w:t>
      </w:r>
      <w:r w:rsidRPr="00FE24C0">
        <w:t xml:space="preserve">exposes an example. </w:t>
      </w:r>
    </w:p>
    <w:tbl>
      <w:tblPr>
        <w:tblStyle w:val="Tablaconcuadrcula"/>
        <w:tblW w:w="0" w:type="auto"/>
        <w:tblLook w:val="04A0"/>
      </w:tblPr>
      <w:tblGrid>
        <w:gridCol w:w="8856"/>
      </w:tblGrid>
      <w:tr w:rsidR="00680E4C" w:rsidRPr="00FE24C0" w:rsidTr="00680E4C">
        <w:tc>
          <w:tcPr>
            <w:tcW w:w="9778" w:type="dxa"/>
          </w:tcPr>
          <w:p w:rsidR="00680E4C" w:rsidRPr="00FE24C0" w:rsidRDefault="00680E4C" w:rsidP="0043546F">
            <w:pPr>
              <w:spacing w:after="0"/>
            </w:pPr>
            <w:r w:rsidRPr="00FE24C0">
              <w:rPr>
                <w:noProof/>
                <w:lang w:val="es-AR" w:eastAsia="es-AR"/>
              </w:rPr>
              <w:drawing>
                <wp:inline distT="0" distB="0" distL="0" distR="0">
                  <wp:extent cx="5372460" cy="2407076"/>
                  <wp:effectExtent l="19050" t="0" r="0" b="0"/>
                  <wp:docPr id="7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cstate="print"/>
                          <a:srcRect/>
                          <a:stretch>
                            <a:fillRect/>
                          </a:stretch>
                        </pic:blipFill>
                        <pic:spPr bwMode="auto">
                          <a:xfrm>
                            <a:off x="0" y="0"/>
                            <a:ext cx="5372460" cy="2407076"/>
                          </a:xfrm>
                          <a:prstGeom prst="rect">
                            <a:avLst/>
                          </a:prstGeom>
                          <a:noFill/>
                          <a:ln w="9525">
                            <a:noFill/>
                            <a:miter lim="800000"/>
                            <a:headEnd/>
                            <a:tailEnd/>
                          </a:ln>
                        </pic:spPr>
                      </pic:pic>
                    </a:graphicData>
                  </a:graphic>
                </wp:inline>
              </w:drawing>
            </w:r>
          </w:p>
        </w:tc>
      </w:tr>
      <w:tr w:rsidR="00680E4C" w:rsidRPr="00FE24C0" w:rsidTr="00680E4C">
        <w:tc>
          <w:tcPr>
            <w:tcW w:w="9778" w:type="dxa"/>
          </w:tcPr>
          <w:p w:rsidR="00680E4C" w:rsidRPr="00FE24C0" w:rsidRDefault="00680E4C" w:rsidP="0043546F">
            <w:pPr>
              <w:spacing w:after="0"/>
              <w:rPr>
                <w:b/>
                <w:sz w:val="16"/>
                <w:szCs w:val="16"/>
              </w:rPr>
            </w:pPr>
            <w:r w:rsidRPr="00FE24C0">
              <w:rPr>
                <w:b/>
                <w:sz w:val="16"/>
                <w:szCs w:val="16"/>
              </w:rPr>
              <w:t xml:space="preserve">Figure </w:t>
            </w:r>
            <w:r w:rsidR="0043546F">
              <w:rPr>
                <w:b/>
                <w:sz w:val="16"/>
                <w:szCs w:val="16"/>
              </w:rPr>
              <w:t>A2.</w:t>
            </w:r>
            <w:r w:rsidRPr="00FE24C0">
              <w:rPr>
                <w:b/>
                <w:sz w:val="16"/>
                <w:szCs w:val="16"/>
              </w:rPr>
              <w:t>2. Payout Rule</w:t>
            </w:r>
            <w:r w:rsidRPr="00FE24C0">
              <w:rPr>
                <w:sz w:val="16"/>
                <w:szCs w:val="16"/>
              </w:rPr>
              <w:t>.</w:t>
            </w:r>
          </w:p>
        </w:tc>
      </w:tr>
    </w:tbl>
    <w:p w:rsidR="00E43164" w:rsidRDefault="00E43164">
      <w:pPr>
        <w:pStyle w:val="Encabezado"/>
        <w:tabs>
          <w:tab w:val="clear" w:pos="4320"/>
          <w:tab w:val="clear" w:pos="8640"/>
        </w:tabs>
      </w:pPr>
    </w:p>
    <w:p w:rsidR="00680E4C" w:rsidRPr="00FE24C0" w:rsidRDefault="00444F9A" w:rsidP="00680E4C">
      <w:pPr>
        <w:rPr>
          <w:b/>
          <w:u w:val="single"/>
        </w:rPr>
      </w:pPr>
      <w:r w:rsidRPr="00FE24C0">
        <w:rPr>
          <w:b/>
          <w:u w:val="single"/>
        </w:rPr>
        <w:t>Trigger Index (TI)</w:t>
      </w:r>
    </w:p>
    <w:p w:rsidR="00680E4C" w:rsidRPr="00FE24C0" w:rsidRDefault="00444F9A" w:rsidP="00680E4C">
      <w:r w:rsidRPr="00FE24C0">
        <w:t xml:space="preserve">The Trigger Index for each month is calculated from the monthly Index probability distribution and according to the expected frequency of the payments, called Return Period (RP). For instance, if the Return Period is 10 years, the TI is calculated so that it triggers a payout each ten years in average, i.e. it will be calculated as the tenth percentile of the Index probability distribution. If the Return Period is set to be 7 years, there is expected for </w:t>
      </w:r>
      <w:r w:rsidR="00F10B33">
        <w:t xml:space="preserve">each </w:t>
      </w:r>
      <w:r w:rsidRPr="00FE24C0">
        <w:t xml:space="preserve">month </w:t>
      </w:r>
      <w:r w:rsidR="00F10B33">
        <w:t xml:space="preserve">in the cover period </w:t>
      </w:r>
      <w:r w:rsidRPr="00FE24C0">
        <w:t xml:space="preserve">one payout each seven years, i.e. approximately in the 14% of the cases, so that the TI will be the fourteenth percentile of the probability distribution. And so on. </w:t>
      </w:r>
      <w:r w:rsidRPr="00FE24C0">
        <w:rPr>
          <w:u w:val="single"/>
        </w:rPr>
        <w:t>Note that for each month there will be one TI</w:t>
      </w:r>
      <w:r w:rsidRPr="00FE24C0">
        <w:t xml:space="preserve">. Mathematically, the trigger </w:t>
      </w:r>
      <w:r w:rsidR="00F10B33">
        <w:t xml:space="preserve">for each month has been </w:t>
      </w:r>
      <w:r w:rsidRPr="00FE24C0">
        <w:t>calculated implicitly as follow:</w:t>
      </w:r>
    </w:p>
    <w:p w:rsidR="00680E4C" w:rsidRPr="00FE24C0" w:rsidRDefault="00680E4C" w:rsidP="00680E4C">
      <w:pPr>
        <w:jc w:val="center"/>
      </w:pPr>
      <w:r w:rsidRPr="00FE24C0">
        <w:rPr>
          <w:position w:val="-14"/>
        </w:rPr>
        <w:object w:dxaOrig="2040" w:dyaOrig="400">
          <v:shape id="_x0000_i1040" type="#_x0000_t75" style="width:102pt;height:20.25pt" o:ole="">
            <v:imagedata r:id="rId102" o:title=""/>
          </v:shape>
          <o:OLEObject Type="Embed" ProgID="Equation.DSMT4" ShapeID="_x0000_i1040" DrawAspect="Content" ObjectID="_1419536179" r:id="rId103"/>
        </w:object>
      </w:r>
    </w:p>
    <w:p w:rsidR="00680E4C" w:rsidRPr="00FE24C0" w:rsidRDefault="00444F9A" w:rsidP="00680E4C">
      <w:r w:rsidRPr="00FE24C0">
        <w:t>TI can be calculated by one out two methods, namely: by using the historical probability distribution (Método = Hist.)</w:t>
      </w:r>
      <w:r w:rsidRPr="00FE24C0">
        <w:rPr>
          <w:rStyle w:val="Refdenotaalpie"/>
        </w:rPr>
        <w:footnoteReference w:id="40"/>
      </w:r>
      <w:r w:rsidRPr="00FE24C0">
        <w:t>, or by fitting a Normal distribution function (Método = Normal). If historical method is chosen, the TI is set to be the percentile of the historical distribution function (of the month under analysis). If Normal method is chosen, the TI is calculated as follows:</w:t>
      </w:r>
    </w:p>
    <w:p w:rsidR="00680E4C" w:rsidRPr="00FE24C0" w:rsidRDefault="00680E4C" w:rsidP="00680E4C">
      <w:pPr>
        <w:jc w:val="center"/>
      </w:pPr>
      <w:r w:rsidRPr="00FE24C0">
        <w:rPr>
          <w:position w:val="-16"/>
        </w:rPr>
        <w:object w:dxaOrig="7020" w:dyaOrig="440">
          <v:shape id="_x0000_i1041" type="#_x0000_t75" style="width:352.5pt;height:22.5pt" o:ole="">
            <v:imagedata r:id="rId104" o:title=""/>
          </v:shape>
          <o:OLEObject Type="Embed" ProgID="Equation.DSMT4" ShapeID="_x0000_i1041" DrawAspect="Content" ObjectID="_1419536180" r:id="rId105"/>
        </w:object>
      </w:r>
    </w:p>
    <w:p w:rsidR="00680E4C" w:rsidRPr="00FE24C0" w:rsidRDefault="00444F9A" w:rsidP="00680E4C">
      <w:proofErr w:type="gramStart"/>
      <w:r w:rsidRPr="00FE24C0">
        <w:t>where</w:t>
      </w:r>
      <w:proofErr w:type="gramEnd"/>
      <w:r w:rsidRPr="00FE24C0">
        <w:t xml:space="preserve"> </w:t>
      </w:r>
      <w:r w:rsidR="00680E4C" w:rsidRPr="00FE24C0">
        <w:rPr>
          <w:position w:val="-12"/>
        </w:rPr>
        <w:object w:dxaOrig="320" w:dyaOrig="360">
          <v:shape id="_x0000_i1042" type="#_x0000_t75" style="width:16.5pt;height:18.75pt" o:ole="">
            <v:imagedata r:id="rId106" o:title=""/>
          </v:shape>
          <o:OLEObject Type="Embed" ProgID="Equation.DSMT4" ShapeID="_x0000_i1042" DrawAspect="Content" ObjectID="_1419536181" r:id="rId107"/>
        </w:object>
      </w:r>
      <w:r w:rsidRPr="00FE24C0">
        <w:t xml:space="preserve"> and </w:t>
      </w:r>
      <w:r w:rsidR="00680E4C" w:rsidRPr="00FE24C0">
        <w:rPr>
          <w:position w:val="-12"/>
        </w:rPr>
        <w:object w:dxaOrig="340" w:dyaOrig="360">
          <v:shape id="_x0000_i1043" type="#_x0000_t75" style="width:17.25pt;height:18.75pt" o:ole="">
            <v:imagedata r:id="rId108" o:title=""/>
          </v:shape>
          <o:OLEObject Type="Embed" ProgID="Equation.DSMT4" ShapeID="_x0000_i1043" DrawAspect="Content" ObjectID="_1419536182" r:id="rId109"/>
        </w:object>
      </w:r>
      <w:r w:rsidRPr="00FE24C0">
        <w:t xml:space="preserve"> are the historical average and standard deviation of the observed values of the Index in the month </w:t>
      </w:r>
      <w:r w:rsidR="00F10B33">
        <w:t>“</w:t>
      </w:r>
      <w:r w:rsidR="00F10B33" w:rsidRPr="00F10B33">
        <w:rPr>
          <w:i/>
        </w:rPr>
        <w:t>m</w:t>
      </w:r>
      <w:r w:rsidR="00F10B33">
        <w:t xml:space="preserve">” </w:t>
      </w:r>
      <w:r w:rsidRPr="00FE24C0">
        <w:t xml:space="preserve">under analysis, and </w:t>
      </w:r>
      <w:r w:rsidR="00680E4C" w:rsidRPr="00FE24C0">
        <w:rPr>
          <w:position w:val="-12"/>
        </w:rPr>
        <w:object w:dxaOrig="460" w:dyaOrig="360">
          <v:shape id="_x0000_i1044" type="#_x0000_t75" style="width:24pt;height:18.75pt" o:ole="">
            <v:imagedata r:id="rId110" o:title=""/>
          </v:shape>
          <o:OLEObject Type="Embed" ProgID="Equation.DSMT4" ShapeID="_x0000_i1044" DrawAspect="Content" ObjectID="_1419536183" r:id="rId111"/>
        </w:object>
      </w:r>
      <w:r w:rsidRPr="00FE24C0">
        <w:t xml:space="preserve"> is the value that accumulate a probability of 1/RP in a Normal Standard distribution</w:t>
      </w:r>
    </w:p>
    <w:p w:rsidR="00680E4C" w:rsidRPr="00FE24C0" w:rsidRDefault="00680E4C" w:rsidP="00680E4C">
      <w:pPr>
        <w:rPr>
          <w:b/>
          <w:u w:val="single"/>
        </w:rPr>
      </w:pPr>
      <w:r w:rsidRPr="00FE24C0">
        <w:rPr>
          <w:b/>
          <w:u w:val="single"/>
        </w:rPr>
        <w:lastRenderedPageBreak/>
        <w:t>Exit Index (TI)</w:t>
      </w:r>
    </w:p>
    <w:p w:rsidR="00680E4C" w:rsidRPr="00FE24C0" w:rsidRDefault="00444F9A" w:rsidP="00680E4C">
      <w:r w:rsidRPr="00FE24C0">
        <w:t xml:space="preserve">The Exit is set </w:t>
      </w:r>
      <w:r w:rsidR="00F10B33">
        <w:t xml:space="preserve">to be </w:t>
      </w:r>
      <w:r w:rsidRPr="00FE24C0">
        <w:t xml:space="preserve">a </w:t>
      </w:r>
      <w:r w:rsidR="00F10B33">
        <w:t xml:space="preserve">chosen </w:t>
      </w:r>
      <w:r w:rsidRPr="00FE24C0">
        <w:t>number of standard deviations below the Trigger, i.e.</w:t>
      </w:r>
      <w:proofErr w:type="gramStart"/>
      <w:r w:rsidRPr="00FE24C0">
        <w:t xml:space="preserve">: </w:t>
      </w:r>
      <w:proofErr w:type="gramEnd"/>
      <w:r w:rsidR="00680E4C" w:rsidRPr="00FE24C0">
        <w:rPr>
          <w:position w:val="-10"/>
        </w:rPr>
        <w:object w:dxaOrig="1520" w:dyaOrig="300">
          <v:shape id="_x0000_i1045" type="#_x0000_t75" style="width:75pt;height:15pt" o:ole="">
            <v:imagedata r:id="rId112" o:title=""/>
          </v:shape>
          <o:OLEObject Type="Embed" ProgID="Equation.DSMT4" ShapeID="_x0000_i1045" DrawAspect="Content" ObjectID="_1419536184" r:id="rId113"/>
        </w:object>
      </w:r>
      <w:r w:rsidRPr="00FE24C0">
        <w:t xml:space="preserve">, where the parameter </w:t>
      </w:r>
      <w:r w:rsidR="00680E4C" w:rsidRPr="00FE24C0">
        <w:rPr>
          <w:position w:val="-10"/>
        </w:rPr>
        <w:object w:dxaOrig="300" w:dyaOrig="300">
          <v:shape id="_x0000_i1046" type="#_x0000_t75" style="width:15pt;height:15pt" o:ole="">
            <v:imagedata r:id="rId114" o:title=""/>
          </v:shape>
          <o:OLEObject Type="Embed" ProgID="Equation.DSMT4" ShapeID="_x0000_i1046" DrawAspect="Content" ObjectID="_1419536185" r:id="rId115"/>
        </w:object>
      </w:r>
      <w:r w:rsidRPr="00FE24C0">
        <w:t xml:space="preserve"> sets the slope of the line in Figure </w:t>
      </w:r>
      <w:r w:rsidR="0043546F">
        <w:t>A2.</w:t>
      </w:r>
      <w:r w:rsidRPr="00FE24C0">
        <w:t xml:space="preserve">2. For instance, if </w:t>
      </w:r>
      <w:r w:rsidR="00680E4C" w:rsidRPr="00FE24C0">
        <w:rPr>
          <w:position w:val="-10"/>
        </w:rPr>
        <w:object w:dxaOrig="620" w:dyaOrig="300">
          <v:shape id="_x0000_i1047" type="#_x0000_t75" style="width:31.5pt;height:15pt" o:ole="">
            <v:imagedata r:id="rId116" o:title=""/>
          </v:shape>
          <o:OLEObject Type="Embed" ProgID="Equation.DSMT4" ShapeID="_x0000_i1047" DrawAspect="Content" ObjectID="_1419536186" r:id="rId117"/>
        </w:object>
      </w:r>
      <w:r w:rsidRPr="00FE24C0">
        <w:t xml:space="preserve"> </w:t>
      </w:r>
      <w:proofErr w:type="gramStart"/>
      <w:r w:rsidRPr="00FE24C0">
        <w:t xml:space="preserve">then </w:t>
      </w:r>
      <w:proofErr w:type="gramEnd"/>
      <w:r w:rsidR="00680E4C" w:rsidRPr="00FE24C0">
        <w:rPr>
          <w:position w:val="-10"/>
        </w:rPr>
        <w:object w:dxaOrig="880" w:dyaOrig="300">
          <v:shape id="_x0000_i1048" type="#_x0000_t75" style="width:44.25pt;height:15pt" o:ole="">
            <v:imagedata r:id="rId118" o:title=""/>
          </v:shape>
          <o:OLEObject Type="Embed" ProgID="Equation.DSMT4" ShapeID="_x0000_i1048" DrawAspect="Content" ObjectID="_1419536187" r:id="rId119"/>
        </w:object>
      </w:r>
      <w:r w:rsidRPr="00FE24C0">
        <w:t xml:space="preserve">, and the insurance payouts are “all or nothing”; and, for higher values of </w:t>
      </w:r>
      <w:r w:rsidR="00680E4C" w:rsidRPr="00FE24C0">
        <w:rPr>
          <w:position w:val="-10"/>
        </w:rPr>
        <w:object w:dxaOrig="300" w:dyaOrig="300">
          <v:shape id="_x0000_i1049" type="#_x0000_t75" style="width:15pt;height:15pt" o:ole="">
            <v:imagedata r:id="rId120" o:title=""/>
          </v:shape>
          <o:OLEObject Type="Embed" ProgID="Equation.DSMT4" ShapeID="_x0000_i1049" DrawAspect="Content" ObjectID="_1419536188" r:id="rId121"/>
        </w:object>
      </w:r>
      <w:r w:rsidRPr="00FE24C0">
        <w:t xml:space="preserve">, the line becomes flatter. Figure </w:t>
      </w:r>
      <w:r w:rsidR="00F10B33">
        <w:t>A2.</w:t>
      </w:r>
      <w:r w:rsidRPr="00FE24C0">
        <w:t xml:space="preserve">3 shows different payout rules according to different values </w:t>
      </w:r>
      <w:proofErr w:type="gramStart"/>
      <w:r w:rsidRPr="00FE24C0">
        <w:t xml:space="preserve">of </w:t>
      </w:r>
      <w:proofErr w:type="gramEnd"/>
      <w:r w:rsidR="00680E4C" w:rsidRPr="00FE24C0">
        <w:rPr>
          <w:position w:val="-10"/>
        </w:rPr>
        <w:object w:dxaOrig="300" w:dyaOrig="300">
          <v:shape id="_x0000_i1050" type="#_x0000_t75" style="width:15pt;height:15pt" o:ole="">
            <v:imagedata r:id="rId122" o:title=""/>
          </v:shape>
          <o:OLEObject Type="Embed" ProgID="Equation.DSMT4" ShapeID="_x0000_i1050" DrawAspect="Content" ObjectID="_1419536189" r:id="rId123"/>
        </w:object>
      </w:r>
      <w:r w:rsidRPr="00FE24C0">
        <w:t>.</w:t>
      </w:r>
    </w:p>
    <w:tbl>
      <w:tblPr>
        <w:tblStyle w:val="Tablaconcuadrcula"/>
        <w:tblW w:w="0" w:type="auto"/>
        <w:jc w:val="center"/>
        <w:tblInd w:w="1119" w:type="dxa"/>
        <w:tblLook w:val="04A0"/>
      </w:tblPr>
      <w:tblGrid>
        <w:gridCol w:w="7596"/>
      </w:tblGrid>
      <w:tr w:rsidR="00680E4C" w:rsidRPr="00FE24C0" w:rsidTr="00680E4C">
        <w:trPr>
          <w:jc w:val="center"/>
        </w:trPr>
        <w:tc>
          <w:tcPr>
            <w:tcW w:w="7596" w:type="dxa"/>
            <w:vAlign w:val="center"/>
          </w:tcPr>
          <w:p w:rsidR="00680E4C" w:rsidRPr="00FE24C0" w:rsidRDefault="00680E4C" w:rsidP="00F10B33">
            <w:pPr>
              <w:spacing w:after="0"/>
              <w:jc w:val="center"/>
            </w:pPr>
            <w:r w:rsidRPr="00FE24C0">
              <w:rPr>
                <w:noProof/>
                <w:lang w:val="es-AR" w:eastAsia="es-AR"/>
              </w:rPr>
              <w:drawing>
                <wp:inline distT="0" distB="0" distL="0" distR="0">
                  <wp:extent cx="3292562" cy="1478644"/>
                  <wp:effectExtent l="19050" t="0" r="3088" b="0"/>
                  <wp:docPr id="76"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cstate="print"/>
                          <a:srcRect/>
                          <a:stretch>
                            <a:fillRect/>
                          </a:stretch>
                        </pic:blipFill>
                        <pic:spPr bwMode="auto">
                          <a:xfrm>
                            <a:off x="0" y="0"/>
                            <a:ext cx="3292562" cy="1478644"/>
                          </a:xfrm>
                          <a:prstGeom prst="rect">
                            <a:avLst/>
                          </a:prstGeom>
                          <a:noFill/>
                          <a:ln w="9525">
                            <a:noFill/>
                            <a:miter lim="800000"/>
                            <a:headEnd/>
                            <a:tailEnd/>
                          </a:ln>
                        </pic:spPr>
                      </pic:pic>
                    </a:graphicData>
                  </a:graphic>
                </wp:inline>
              </w:drawing>
            </w:r>
          </w:p>
          <w:p w:rsidR="00680E4C" w:rsidRPr="00FE24C0" w:rsidRDefault="00680E4C" w:rsidP="00F10B33">
            <w:pPr>
              <w:spacing w:after="0"/>
              <w:jc w:val="center"/>
            </w:pPr>
            <w:r w:rsidRPr="00FE24C0">
              <w:rPr>
                <w:noProof/>
                <w:lang w:val="es-AR" w:eastAsia="es-AR"/>
              </w:rPr>
              <w:drawing>
                <wp:inline distT="0" distB="0" distL="0" distR="0">
                  <wp:extent cx="3292562" cy="1478644"/>
                  <wp:effectExtent l="19050" t="0" r="3088" b="0"/>
                  <wp:docPr id="77"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cstate="print"/>
                          <a:srcRect/>
                          <a:stretch>
                            <a:fillRect/>
                          </a:stretch>
                        </pic:blipFill>
                        <pic:spPr bwMode="auto">
                          <a:xfrm>
                            <a:off x="0" y="0"/>
                            <a:ext cx="3292562" cy="1478644"/>
                          </a:xfrm>
                          <a:prstGeom prst="rect">
                            <a:avLst/>
                          </a:prstGeom>
                          <a:noFill/>
                          <a:ln w="9525">
                            <a:noFill/>
                            <a:miter lim="800000"/>
                            <a:headEnd/>
                            <a:tailEnd/>
                          </a:ln>
                        </pic:spPr>
                      </pic:pic>
                    </a:graphicData>
                  </a:graphic>
                </wp:inline>
              </w:drawing>
            </w:r>
          </w:p>
          <w:p w:rsidR="00680E4C" w:rsidRPr="00FE24C0" w:rsidRDefault="00680E4C" w:rsidP="00F10B33">
            <w:pPr>
              <w:spacing w:after="0"/>
              <w:jc w:val="center"/>
            </w:pPr>
            <w:r w:rsidRPr="00FE24C0">
              <w:rPr>
                <w:noProof/>
                <w:lang w:val="es-AR" w:eastAsia="es-AR"/>
              </w:rPr>
              <w:drawing>
                <wp:inline distT="0" distB="0" distL="0" distR="0">
                  <wp:extent cx="3292562" cy="1478644"/>
                  <wp:effectExtent l="19050" t="0" r="3088" b="0"/>
                  <wp:docPr id="78"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cstate="print"/>
                          <a:srcRect/>
                          <a:stretch>
                            <a:fillRect/>
                          </a:stretch>
                        </pic:blipFill>
                        <pic:spPr bwMode="auto">
                          <a:xfrm>
                            <a:off x="0" y="0"/>
                            <a:ext cx="3292562" cy="1478644"/>
                          </a:xfrm>
                          <a:prstGeom prst="rect">
                            <a:avLst/>
                          </a:prstGeom>
                          <a:noFill/>
                          <a:ln w="9525">
                            <a:noFill/>
                            <a:miter lim="800000"/>
                            <a:headEnd/>
                            <a:tailEnd/>
                          </a:ln>
                        </pic:spPr>
                      </pic:pic>
                    </a:graphicData>
                  </a:graphic>
                </wp:inline>
              </w:drawing>
            </w:r>
          </w:p>
        </w:tc>
      </w:tr>
      <w:tr w:rsidR="00680E4C" w:rsidRPr="00FE24C0" w:rsidTr="00680E4C">
        <w:trPr>
          <w:jc w:val="center"/>
        </w:trPr>
        <w:tc>
          <w:tcPr>
            <w:tcW w:w="7596" w:type="dxa"/>
            <w:vAlign w:val="center"/>
          </w:tcPr>
          <w:p w:rsidR="00680E4C" w:rsidRPr="00FE24C0" w:rsidRDefault="00444F9A" w:rsidP="00F10B33">
            <w:pPr>
              <w:spacing w:after="0"/>
              <w:jc w:val="left"/>
              <w:rPr>
                <w:b/>
                <w:sz w:val="16"/>
                <w:szCs w:val="16"/>
              </w:rPr>
            </w:pPr>
            <w:r w:rsidRPr="00FE24C0">
              <w:rPr>
                <w:b/>
                <w:sz w:val="16"/>
                <w:szCs w:val="16"/>
              </w:rPr>
              <w:t xml:space="preserve">Figure </w:t>
            </w:r>
            <w:r w:rsidR="00F10B33">
              <w:rPr>
                <w:b/>
                <w:sz w:val="16"/>
                <w:szCs w:val="16"/>
              </w:rPr>
              <w:t>A2.</w:t>
            </w:r>
            <w:r w:rsidRPr="00FE24C0">
              <w:rPr>
                <w:b/>
                <w:sz w:val="16"/>
                <w:szCs w:val="16"/>
              </w:rPr>
              <w:t xml:space="preserve">3. Payout rules for different values of parameter “k”, which determines the </w:t>
            </w:r>
            <w:r w:rsidRPr="00FE24C0">
              <w:rPr>
                <w:b/>
                <w:i/>
                <w:sz w:val="16"/>
                <w:szCs w:val="16"/>
              </w:rPr>
              <w:t>Exit Index</w:t>
            </w:r>
            <w:r w:rsidRPr="00FE24C0">
              <w:rPr>
                <w:b/>
                <w:sz w:val="16"/>
                <w:szCs w:val="16"/>
              </w:rPr>
              <w:t>.</w:t>
            </w:r>
          </w:p>
        </w:tc>
      </w:tr>
    </w:tbl>
    <w:p w:rsidR="00680E4C" w:rsidRPr="00FE24C0" w:rsidRDefault="00680E4C" w:rsidP="00680E4C"/>
    <w:p w:rsidR="00680E4C" w:rsidRPr="00FE24C0" w:rsidRDefault="000A0B0B" w:rsidP="00680E4C">
      <w:pPr>
        <w:pStyle w:val="Ttulo2"/>
        <w:keepLines w:val="0"/>
        <w:numPr>
          <w:ilvl w:val="1"/>
          <w:numId w:val="0"/>
        </w:numPr>
        <w:tabs>
          <w:tab w:val="num" w:pos="576"/>
        </w:tabs>
        <w:spacing w:before="240" w:after="60"/>
        <w:ind w:left="576" w:hanging="576"/>
      </w:pPr>
      <w:bookmarkStart w:id="61" w:name="_Toc337309984"/>
      <w:r w:rsidRPr="00FE24C0">
        <w:t xml:space="preserve">3.5. </w:t>
      </w:r>
      <w:r w:rsidR="00680E4C" w:rsidRPr="00FE24C0">
        <w:t>Risk Premium estimation: burn analysis</w:t>
      </w:r>
      <w:bookmarkEnd w:id="61"/>
    </w:p>
    <w:p w:rsidR="00843EDE" w:rsidRDefault="00843EDE" w:rsidP="00843EDE">
      <w:pPr>
        <w:spacing w:after="0"/>
      </w:pPr>
    </w:p>
    <w:p w:rsidR="00680E4C" w:rsidRPr="00FE24C0" w:rsidRDefault="00444F9A" w:rsidP="00680E4C">
      <w:r w:rsidRPr="00FE24C0">
        <w:t xml:space="preserve">In order to estimate the Risk Premium of the NDVI Index Insurance a </w:t>
      </w:r>
      <w:r w:rsidRPr="00FE24C0">
        <w:rPr>
          <w:b/>
          <w:i/>
        </w:rPr>
        <w:t>burn analysis</w:t>
      </w:r>
      <w:r w:rsidRPr="00FE24C0">
        <w:t xml:space="preserve"> has been </w:t>
      </w:r>
      <w:r w:rsidR="00F10B33">
        <w:t>carried out</w:t>
      </w:r>
      <w:r w:rsidRPr="00FE24C0">
        <w:t>.</w:t>
      </w:r>
    </w:p>
    <w:p w:rsidR="00680E4C" w:rsidRPr="00FE24C0" w:rsidRDefault="00444F9A" w:rsidP="00680E4C">
      <w:r w:rsidRPr="00FE24C0">
        <w:t xml:space="preserve">Once the Sum Insured for each month of the cover period, the Return Period (that allows </w:t>
      </w:r>
      <w:r w:rsidR="00F10B33">
        <w:t xml:space="preserve">setting </w:t>
      </w:r>
      <w:r w:rsidRPr="00FE24C0">
        <w:t>the Trigger</w:t>
      </w:r>
      <w:r w:rsidR="00F10B33">
        <w:t xml:space="preserve"> </w:t>
      </w:r>
      <w:r w:rsidRPr="00FE24C0">
        <w:t xml:space="preserve">for each month and for each cluster) and the parameter k (that allows </w:t>
      </w:r>
      <w:r w:rsidR="006D032D">
        <w:t xml:space="preserve">setting </w:t>
      </w:r>
      <w:r w:rsidRPr="00FE24C0">
        <w:t>the Exit) have been set, an “as if” analysis is performed to calculate what would have been the payment in each one of the 28 years of the database (see Section 3.1</w:t>
      </w:r>
      <w:r w:rsidR="006D032D">
        <w:t xml:space="preserve"> of this Annex</w:t>
      </w:r>
      <w:r w:rsidRPr="00FE24C0">
        <w:t>). The average payout, as percentage of the Annual Sum Insured, is the Risk Premium rate for each Cuartel.</w:t>
      </w:r>
    </w:p>
    <w:p w:rsidR="00680E4C" w:rsidRPr="00FE24C0" w:rsidRDefault="00444F9A" w:rsidP="00680E4C">
      <w:r w:rsidRPr="00FE24C0">
        <w:lastRenderedPageBreak/>
        <w:t>The Risk Premium rates for each District, and for all SWBA, are calculated as a weighted average of the Risk Premium rates of each Cuartel.</w:t>
      </w:r>
    </w:p>
    <w:p w:rsidR="00680E4C" w:rsidRPr="00FE24C0" w:rsidRDefault="00444F9A" w:rsidP="00680E4C">
      <w:r w:rsidRPr="00FE24C0">
        <w:t xml:space="preserve">Section 5.5 </w:t>
      </w:r>
      <w:r w:rsidR="006D032D">
        <w:t xml:space="preserve">of this Annex </w:t>
      </w:r>
      <w:r w:rsidRPr="00FE24C0">
        <w:t xml:space="preserve">illustrates </w:t>
      </w:r>
      <w:r w:rsidR="006D032D">
        <w:t xml:space="preserve">a step by step </w:t>
      </w:r>
      <w:r w:rsidRPr="00FE24C0">
        <w:t xml:space="preserve">example of the </w:t>
      </w:r>
      <w:r w:rsidR="006D032D">
        <w:t xml:space="preserve">calculation of the </w:t>
      </w:r>
      <w:r w:rsidRPr="00FE24C0">
        <w:t xml:space="preserve">historical payouts for a specific Cuartel, from which </w:t>
      </w:r>
      <w:r w:rsidR="006D032D" w:rsidRPr="00FE24C0">
        <w:t xml:space="preserve">is </w:t>
      </w:r>
      <w:r w:rsidR="006D032D">
        <w:t xml:space="preserve">also </w:t>
      </w:r>
      <w:r w:rsidR="006D032D" w:rsidRPr="00FE24C0">
        <w:t xml:space="preserve">calculated </w:t>
      </w:r>
      <w:r w:rsidRPr="00FE24C0">
        <w:t xml:space="preserve">the Risk Premium </w:t>
      </w:r>
      <w:r w:rsidR="006D032D">
        <w:t>R</w:t>
      </w:r>
      <w:r w:rsidRPr="00FE24C0">
        <w:t>ate</w:t>
      </w:r>
      <w:r w:rsidR="006D032D">
        <w:t xml:space="preserve"> for that Cuartel</w:t>
      </w:r>
      <w:r w:rsidRPr="00FE24C0">
        <w:t>. In turn, the calculations for a complete District and for all SWBA are</w:t>
      </w:r>
      <w:r w:rsidR="006D032D">
        <w:t xml:space="preserve"> also</w:t>
      </w:r>
      <w:r w:rsidRPr="00FE24C0">
        <w:t xml:space="preserve"> shown.</w:t>
      </w:r>
    </w:p>
    <w:p w:rsidR="00680E4C" w:rsidRPr="00FE24C0" w:rsidRDefault="000A0B0B" w:rsidP="00680E4C">
      <w:pPr>
        <w:pStyle w:val="Ttulo2"/>
        <w:keepLines w:val="0"/>
        <w:numPr>
          <w:ilvl w:val="1"/>
          <w:numId w:val="0"/>
        </w:numPr>
        <w:tabs>
          <w:tab w:val="num" w:pos="576"/>
        </w:tabs>
        <w:spacing w:before="240" w:after="60"/>
        <w:ind w:left="576" w:hanging="576"/>
      </w:pPr>
      <w:bookmarkStart w:id="62" w:name="_Toc337309985"/>
      <w:r w:rsidRPr="00FE24C0">
        <w:t xml:space="preserve">3.6. </w:t>
      </w:r>
      <w:r w:rsidR="00680E4C" w:rsidRPr="00FE24C0">
        <w:t>Technical and Commercial Premium</w:t>
      </w:r>
      <w:bookmarkEnd w:id="62"/>
    </w:p>
    <w:p w:rsidR="00843EDE" w:rsidRDefault="00843EDE" w:rsidP="00843EDE">
      <w:pPr>
        <w:spacing w:after="0"/>
      </w:pPr>
    </w:p>
    <w:p w:rsidR="00680E4C" w:rsidRPr="00FE24C0" w:rsidRDefault="00444F9A" w:rsidP="00680E4C">
      <w:r w:rsidRPr="00FE24C0">
        <w:t>The Commercial Premium that should be paid for the policyholder can be disaggregated as follows:</w:t>
      </w:r>
    </w:p>
    <w:p w:rsidR="00680E4C" w:rsidRPr="00FE24C0" w:rsidRDefault="00680E4C" w:rsidP="00680E4C">
      <w:r w:rsidRPr="00FE24C0">
        <w:rPr>
          <w:position w:val="-12"/>
        </w:rPr>
        <w:object w:dxaOrig="3320" w:dyaOrig="360">
          <v:shape id="_x0000_i1051" type="#_x0000_t75" style="width:166.5pt;height:18.75pt" o:ole="">
            <v:imagedata r:id="rId127" o:title=""/>
          </v:shape>
          <o:OLEObject Type="Embed" ProgID="Equation.DSMT4" ShapeID="_x0000_i1051" DrawAspect="Content" ObjectID="_1419536190" r:id="rId128"/>
        </w:object>
      </w:r>
    </w:p>
    <w:p w:rsidR="00680E4C" w:rsidRPr="00FE24C0" w:rsidRDefault="00444F9A" w:rsidP="00680E4C">
      <w:r w:rsidRPr="00FE24C0">
        <w:t xml:space="preserve">where CP is the Commercial Premium, RP is the Risk Premium, TRL is a technical risk loading (due to estimations error in calculating the RP and to constitute a fund for catastrophic events –PML-), </w:t>
      </w:r>
      <w:r w:rsidR="00680E4C" w:rsidRPr="00FE24C0">
        <w:rPr>
          <w:position w:val="-10"/>
        </w:rPr>
        <w:object w:dxaOrig="460" w:dyaOrig="300">
          <v:shape id="_x0000_i1052" type="#_x0000_t75" style="width:24pt;height:15pt" o:ole="">
            <v:imagedata r:id="rId129" o:title=""/>
          </v:shape>
          <o:OLEObject Type="Embed" ProgID="Equation.DSMT4" ShapeID="_x0000_i1052" DrawAspect="Content" ObjectID="_1419536191" r:id="rId130"/>
        </w:object>
      </w:r>
      <w:r w:rsidRPr="00FE24C0">
        <w:t xml:space="preserve"> is the percentage of the CP associated to the Administration and Operational expenses that should incur the insurer to operate the coverage, and </w:t>
      </w:r>
      <w:r w:rsidR="00680E4C" w:rsidRPr="00FE24C0">
        <w:rPr>
          <w:position w:val="-10"/>
        </w:rPr>
        <w:object w:dxaOrig="279" w:dyaOrig="300">
          <v:shape id="_x0000_i1053" type="#_x0000_t75" style="width:15pt;height:15pt" o:ole="">
            <v:imagedata r:id="rId131" o:title=""/>
          </v:shape>
          <o:OLEObject Type="Embed" ProgID="Equation.DSMT4" ShapeID="_x0000_i1053" DrawAspect="Content" ObjectID="_1419536192" r:id="rId132"/>
        </w:object>
      </w:r>
      <w:r w:rsidRPr="00FE24C0">
        <w:t xml:space="preserve"> is the percentage of the CP that is loaded by the insurer as a Profit margin in order to accept the risk. </w:t>
      </w:r>
    </w:p>
    <w:p w:rsidR="00680E4C" w:rsidRDefault="00444F9A" w:rsidP="00680E4C">
      <w:r w:rsidRPr="00FE24C0">
        <w:t>In the rating model, the Technical Risk Loading is calculated as a percentage of the standard deviation of the historical payouts, i.e.</w:t>
      </w:r>
      <w:proofErr w:type="gramStart"/>
      <w:r w:rsidRPr="00FE24C0">
        <w:t xml:space="preserve">: </w:t>
      </w:r>
      <w:proofErr w:type="gramEnd"/>
      <w:r w:rsidR="00680E4C" w:rsidRPr="00FE24C0">
        <w:rPr>
          <w:position w:val="-12"/>
        </w:rPr>
        <w:object w:dxaOrig="1680" w:dyaOrig="320">
          <v:shape id="_x0000_i1054" type="#_x0000_t75" style="width:84.75pt;height:16.5pt" o:ole="">
            <v:imagedata r:id="rId133" o:title=""/>
          </v:shape>
          <o:OLEObject Type="Embed" ProgID="Equation.DSMT4" ShapeID="_x0000_i1054" DrawAspect="Content" ObjectID="_1419536193" r:id="rId134"/>
        </w:object>
      </w:r>
      <w:r w:rsidRPr="00FE24C0">
        <w:t>. It is usual in the insurer industry set the mentioned percentage in the order of 20% to 30%.</w:t>
      </w:r>
      <w:r w:rsidR="006D032D">
        <w:t xml:space="preserve"> </w:t>
      </w:r>
      <w:r w:rsidR="00BF19A7" w:rsidRPr="00BF19A7">
        <w:t>In the insurance industry is also common to calculate risk loading as a percentage of the Probable Maximum Loss.</w:t>
      </w:r>
    </w:p>
    <w:p w:rsidR="006D032D" w:rsidRDefault="00BF19A7" w:rsidP="00680E4C">
      <w:r w:rsidRPr="00BF19A7">
        <w:t>In the Rating Tool developed by the World Bank Team, the Commercial Premiums have been estimated by applying a fixed factor of 1.25 to the Technical Premiums, which is supposed to include all the loadings (besides the “Risk Loading” that is included in the Technical Premium) charged by the insurer.</w:t>
      </w:r>
    </w:p>
    <w:p w:rsidR="006D032D" w:rsidRDefault="00BF19A7" w:rsidP="00680E4C">
      <w:r w:rsidRPr="00BF19A7">
        <w:t xml:space="preserve">The </w:t>
      </w:r>
      <w:r>
        <w:t>calculations</w:t>
      </w:r>
      <w:r w:rsidRPr="00BF19A7">
        <w:t xml:space="preserve"> </w:t>
      </w:r>
      <w:r>
        <w:t>carried out by</w:t>
      </w:r>
      <w:r w:rsidRPr="00BF19A7">
        <w:t xml:space="preserve"> the Rating Tool are indicatives</w:t>
      </w:r>
      <w:r>
        <w:t xml:space="preserve"> for all the stakeholders</w:t>
      </w:r>
      <w:r w:rsidRPr="00BF19A7">
        <w:t xml:space="preserve">, </w:t>
      </w:r>
      <w:r>
        <w:t>and the</w:t>
      </w:r>
      <w:r w:rsidRPr="00BF19A7">
        <w:t xml:space="preserve"> final </w:t>
      </w:r>
      <w:r>
        <w:t xml:space="preserve">premiums charged to the NDVI-insurance </w:t>
      </w:r>
      <w:r w:rsidRPr="00BF19A7">
        <w:t xml:space="preserve">should be </w:t>
      </w:r>
      <w:r>
        <w:t xml:space="preserve">determined </w:t>
      </w:r>
      <w:r w:rsidRPr="00BF19A7">
        <w:t xml:space="preserve">by the insurers (and </w:t>
      </w:r>
      <w:r>
        <w:t xml:space="preserve">their </w:t>
      </w:r>
      <w:r w:rsidRPr="00BF19A7">
        <w:t>reinsurers).</w:t>
      </w:r>
    </w:p>
    <w:p w:rsidR="00BF19A7" w:rsidRPr="00FE24C0" w:rsidRDefault="00BF19A7" w:rsidP="00680E4C"/>
    <w:p w:rsidR="00680E4C" w:rsidRPr="00AE1998" w:rsidRDefault="00F0345D" w:rsidP="00680E4C">
      <w:pPr>
        <w:pStyle w:val="Ttulo2"/>
        <w:keepLines w:val="0"/>
        <w:numPr>
          <w:ilvl w:val="1"/>
          <w:numId w:val="0"/>
        </w:numPr>
        <w:tabs>
          <w:tab w:val="num" w:pos="576"/>
        </w:tabs>
        <w:spacing w:before="240" w:after="60"/>
        <w:ind w:left="576" w:hanging="576"/>
      </w:pPr>
      <w:bookmarkStart w:id="63" w:name="_Toc337309986"/>
      <w:r w:rsidRPr="00AE1998">
        <w:t>3.7. Probable Maximum Loss (PML) Estimation</w:t>
      </w:r>
      <w:bookmarkEnd w:id="63"/>
    </w:p>
    <w:p w:rsidR="00843EDE" w:rsidRPr="00122124" w:rsidRDefault="00843EDE" w:rsidP="00843EDE">
      <w:pPr>
        <w:spacing w:after="0"/>
        <w:rPr>
          <w:highlight w:val="yellow"/>
        </w:rPr>
      </w:pPr>
    </w:p>
    <w:p w:rsidR="00680E4C" w:rsidRDefault="00F0345D" w:rsidP="00680E4C">
      <w:r w:rsidRPr="00AE1998">
        <w:t xml:space="preserve">The Rating Tool developed in Excel </w:t>
      </w:r>
      <w:r w:rsidR="00AE1998" w:rsidRPr="00AE1998">
        <w:t xml:space="preserve">does NOT </w:t>
      </w:r>
      <w:r w:rsidRPr="00AE1998">
        <w:t>include the calculation of the PML</w:t>
      </w:r>
      <w:r w:rsidR="00AE1998" w:rsidRPr="00AE1998">
        <w:t>, because such calculation require the development of a separate analysis that involve parametric distribution fitting</w:t>
      </w:r>
      <w:r w:rsidRPr="00AE1998">
        <w:t xml:space="preserve"> </w:t>
      </w:r>
      <w:r w:rsidR="00AE1998">
        <w:t xml:space="preserve">to the loss data </w:t>
      </w:r>
      <w:r w:rsidR="00AE1998" w:rsidRPr="00AE1998">
        <w:t xml:space="preserve">and </w:t>
      </w:r>
      <w:r w:rsidR="000D537D">
        <w:t xml:space="preserve">Monte Carlo Simulation using At Risk software and this </w:t>
      </w:r>
      <w:r w:rsidR="00AE1998" w:rsidRPr="00AE1998">
        <w:t>cannot be carried out automatically</w:t>
      </w:r>
      <w:r w:rsidR="000D537D">
        <w:t xml:space="preserve"> in the NDVI Rating Tool</w:t>
      </w:r>
      <w:r w:rsidR="00AE1998">
        <w:t>.</w:t>
      </w:r>
    </w:p>
    <w:p w:rsidR="00680E4C" w:rsidRPr="00122124" w:rsidRDefault="00AE1998" w:rsidP="00AE1998">
      <w:pPr>
        <w:rPr>
          <w:highlight w:val="yellow"/>
        </w:rPr>
      </w:pPr>
      <w:r>
        <w:t xml:space="preserve">The methodology </w:t>
      </w:r>
      <w:r w:rsidR="000D537D">
        <w:t xml:space="preserve">used to </w:t>
      </w:r>
      <w:r>
        <w:t xml:space="preserve">estimate the PML was </w:t>
      </w:r>
      <w:r w:rsidR="000D537D">
        <w:t>presented</w:t>
      </w:r>
      <w:r>
        <w:t xml:space="preserve"> in Section 5 of the main report. The reader is referred to that section for further details.</w:t>
      </w:r>
    </w:p>
    <w:p w:rsidR="00680E4C" w:rsidRPr="00FE24C0" w:rsidRDefault="00680E4C" w:rsidP="00680E4C"/>
    <w:p w:rsidR="00680E4C" w:rsidRPr="00FE24C0" w:rsidRDefault="000A0B0B" w:rsidP="00680E4C">
      <w:pPr>
        <w:pStyle w:val="Ttulo2"/>
        <w:keepLines w:val="0"/>
        <w:numPr>
          <w:ilvl w:val="1"/>
          <w:numId w:val="0"/>
        </w:numPr>
        <w:tabs>
          <w:tab w:val="num" w:pos="576"/>
        </w:tabs>
        <w:spacing w:before="240" w:after="60"/>
        <w:ind w:left="576" w:hanging="576"/>
      </w:pPr>
      <w:bookmarkStart w:id="64" w:name="_Toc337309987"/>
      <w:r w:rsidRPr="00FE24C0">
        <w:lastRenderedPageBreak/>
        <w:t xml:space="preserve">3.8. </w:t>
      </w:r>
      <w:r w:rsidR="00680E4C" w:rsidRPr="00FE24C0">
        <w:t>Sum Insured calculation</w:t>
      </w:r>
      <w:bookmarkEnd w:id="64"/>
    </w:p>
    <w:p w:rsidR="004E79BD" w:rsidRPr="00FE24C0" w:rsidRDefault="004E79BD" w:rsidP="004E79BD">
      <w:pPr>
        <w:spacing w:after="0"/>
      </w:pPr>
    </w:p>
    <w:p w:rsidR="00680E4C" w:rsidRPr="00FE24C0" w:rsidRDefault="00444F9A" w:rsidP="00680E4C">
      <w:r w:rsidRPr="00FE24C0">
        <w:t xml:space="preserve">The Sum Insured is calculated </w:t>
      </w:r>
      <w:r w:rsidR="000A0B0B" w:rsidRPr="00FE24C0">
        <w:t>based on the following inputs</w:t>
      </w:r>
      <w:r w:rsidRPr="00FE24C0">
        <w:t>: (i) the number of animals insured in each category, heifers and cows, and (ii) the Nutritional Requirements of each animal. To estimate the Sum insured, it is used a feeding based on corn, because this commodity has an active market and transparent prices.</w:t>
      </w:r>
    </w:p>
    <w:p w:rsidR="00680E4C" w:rsidRPr="00FE24C0" w:rsidRDefault="00BF19A7" w:rsidP="00680E4C">
      <w:r>
        <w:t xml:space="preserve">In </w:t>
      </w:r>
      <w:r w:rsidR="00444F9A" w:rsidRPr="00FE24C0">
        <w:t xml:space="preserve">Table </w:t>
      </w:r>
      <w:r w:rsidR="002558DC" w:rsidRPr="00FE24C0">
        <w:t>A</w:t>
      </w:r>
      <w:r>
        <w:t>2.</w:t>
      </w:r>
      <w:r w:rsidR="00444F9A" w:rsidRPr="00FE24C0">
        <w:t xml:space="preserve">2 in Section 3.3 </w:t>
      </w:r>
      <w:r>
        <w:t xml:space="preserve">of this Annex has benn </w:t>
      </w:r>
      <w:r w:rsidR="00444F9A" w:rsidRPr="00FE24C0">
        <w:t>show</w:t>
      </w:r>
      <w:r>
        <w:t>n</w:t>
      </w:r>
      <w:r w:rsidR="00444F9A" w:rsidRPr="00FE24C0">
        <w:t xml:space="preserve"> the Nutritional Requirements, expressed in “Cow Equivalents” (EV, </w:t>
      </w:r>
      <w:r w:rsidR="00444F9A" w:rsidRPr="00FE24C0">
        <w:rPr>
          <w:i/>
        </w:rPr>
        <w:t>Equivalente Vaca</w:t>
      </w:r>
      <w:r w:rsidR="00444F9A" w:rsidRPr="00FE24C0">
        <w:t xml:space="preserve">) in each month of the </w:t>
      </w:r>
      <w:proofErr w:type="gramStart"/>
      <w:r w:rsidR="00444F9A" w:rsidRPr="00FE24C0">
        <w:t>year.</w:t>
      </w:r>
      <w:proofErr w:type="gramEnd"/>
      <w:r w:rsidR="00444F9A" w:rsidRPr="00FE24C0">
        <w:t xml:space="preserve"> According to Livestock Department of MAGyP, one metric ton of corn could feed 170 “Cow Equivalents”. Under the assumption that the corn price is AR$ 600 per ton, the cost of feeding one EV is AR$ 3.5294 per day.</w:t>
      </w:r>
    </w:p>
    <w:p w:rsidR="00680E4C" w:rsidRPr="00FE24C0" w:rsidRDefault="00444F9A" w:rsidP="00680E4C">
      <w:r w:rsidRPr="00FE24C0">
        <w:t xml:space="preserve">Considering the Nutritional Requirements of Table </w:t>
      </w:r>
      <w:r w:rsidR="002558DC" w:rsidRPr="00FE24C0">
        <w:t>A</w:t>
      </w:r>
      <w:r w:rsidRPr="00FE24C0">
        <w:t>2</w:t>
      </w:r>
      <w:r w:rsidR="00BF19A7">
        <w:t>.2</w:t>
      </w:r>
      <w:r w:rsidRPr="00FE24C0">
        <w:t xml:space="preserve"> in Section 3.3 </w:t>
      </w:r>
      <w:r w:rsidR="00BF19A7">
        <w:t xml:space="preserve">of this Annex, </w:t>
      </w:r>
      <w:r w:rsidRPr="00FE24C0">
        <w:t xml:space="preserve">during the </w:t>
      </w:r>
      <w:r w:rsidR="00F65B38">
        <w:t xml:space="preserve">six months </w:t>
      </w:r>
      <w:r w:rsidRPr="00FE24C0">
        <w:t xml:space="preserve">cover period of the insurance, and using the cost of AR$ 3.5294 per day per EV, the total cost of feeding amounts AR$673.59 per cow and AR$523.16 per heifer (see Table </w:t>
      </w:r>
      <w:r w:rsidR="002558DC" w:rsidRPr="00FE24C0">
        <w:t>A</w:t>
      </w:r>
      <w:r w:rsidR="00BF19A7">
        <w:t>2.</w:t>
      </w:r>
      <w:r w:rsidRPr="00FE24C0">
        <w:t>3).</w:t>
      </w:r>
    </w:p>
    <w:tbl>
      <w:tblPr>
        <w:tblStyle w:val="Tablaconcuadrcula"/>
        <w:tblW w:w="0" w:type="auto"/>
        <w:jc w:val="center"/>
        <w:tblLook w:val="04A0"/>
      </w:tblPr>
      <w:tblGrid>
        <w:gridCol w:w="8856"/>
      </w:tblGrid>
      <w:tr w:rsidR="00680E4C" w:rsidRPr="00FE24C0" w:rsidTr="00680E4C">
        <w:trPr>
          <w:jc w:val="center"/>
        </w:trPr>
        <w:tc>
          <w:tcPr>
            <w:tcW w:w="8998" w:type="dxa"/>
          </w:tcPr>
          <w:p w:rsidR="00E43164" w:rsidRDefault="00193F63">
            <w:pPr>
              <w:pStyle w:val="Encabezado"/>
              <w:tabs>
                <w:tab w:val="clear" w:pos="4320"/>
                <w:tab w:val="clear" w:pos="8640"/>
              </w:tabs>
              <w:spacing w:after="0"/>
              <w:rPr>
                <w:noProof/>
                <w:lang w:val="es-AR" w:eastAsia="es-AR"/>
              </w:rPr>
            </w:pPr>
            <w:r w:rsidRPr="00BF19A7">
              <w:rPr>
                <w:noProof/>
                <w:lang w:val="es-AR" w:eastAsia="es-AR"/>
              </w:rPr>
              <w:drawing>
                <wp:inline distT="0" distB="0" distL="0" distR="0">
                  <wp:extent cx="5514975" cy="1237261"/>
                  <wp:effectExtent l="19050" t="0" r="9525" b="0"/>
                  <wp:docPr id="7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5" cstate="print"/>
                          <a:srcRect/>
                          <a:stretch>
                            <a:fillRect/>
                          </a:stretch>
                        </pic:blipFill>
                        <pic:spPr bwMode="auto">
                          <a:xfrm>
                            <a:off x="0" y="0"/>
                            <a:ext cx="5515859" cy="1237459"/>
                          </a:xfrm>
                          <a:prstGeom prst="rect">
                            <a:avLst/>
                          </a:prstGeom>
                          <a:noFill/>
                          <a:ln w="9525">
                            <a:noFill/>
                            <a:miter lim="800000"/>
                            <a:headEnd/>
                            <a:tailEnd/>
                          </a:ln>
                        </pic:spPr>
                      </pic:pic>
                    </a:graphicData>
                  </a:graphic>
                </wp:inline>
              </w:drawing>
            </w:r>
          </w:p>
        </w:tc>
      </w:tr>
      <w:tr w:rsidR="00680E4C" w:rsidRPr="00FE24C0" w:rsidTr="00680E4C">
        <w:trPr>
          <w:jc w:val="center"/>
        </w:trPr>
        <w:tc>
          <w:tcPr>
            <w:tcW w:w="8998" w:type="dxa"/>
          </w:tcPr>
          <w:p w:rsidR="00E43164" w:rsidRDefault="00444F9A">
            <w:pPr>
              <w:spacing w:after="0"/>
              <w:rPr>
                <w:b/>
                <w:sz w:val="16"/>
                <w:szCs w:val="16"/>
              </w:rPr>
            </w:pPr>
            <w:r w:rsidRPr="00FE24C0">
              <w:rPr>
                <w:b/>
                <w:sz w:val="16"/>
                <w:szCs w:val="16"/>
              </w:rPr>
              <w:t xml:space="preserve">Table </w:t>
            </w:r>
            <w:r w:rsidR="002558DC" w:rsidRPr="00FE24C0">
              <w:rPr>
                <w:b/>
                <w:sz w:val="16"/>
                <w:szCs w:val="16"/>
              </w:rPr>
              <w:t>A</w:t>
            </w:r>
            <w:r w:rsidR="00BF19A7">
              <w:rPr>
                <w:b/>
                <w:sz w:val="16"/>
                <w:szCs w:val="16"/>
              </w:rPr>
              <w:t>2.</w:t>
            </w:r>
            <w:r w:rsidRPr="00FE24C0">
              <w:rPr>
                <w:b/>
                <w:sz w:val="16"/>
                <w:szCs w:val="16"/>
              </w:rPr>
              <w:t xml:space="preserve">3. Cost of feeding in cover period, on the basis of a diet based on corn, for both categories insurable. </w:t>
            </w:r>
          </w:p>
        </w:tc>
      </w:tr>
    </w:tbl>
    <w:p w:rsidR="00680E4C" w:rsidRPr="00FE24C0" w:rsidRDefault="00680E4C" w:rsidP="004E79BD">
      <w:pPr>
        <w:spacing w:after="0"/>
      </w:pPr>
    </w:p>
    <w:p w:rsidR="00680E4C" w:rsidRPr="00FE24C0" w:rsidRDefault="00444F9A" w:rsidP="00680E4C">
      <w:r w:rsidRPr="00FE24C0">
        <w:t xml:space="preserve">However, it is advisable that the insurance does not </w:t>
      </w:r>
      <w:r w:rsidR="00F65B38">
        <w:t xml:space="preserve">assure </w:t>
      </w:r>
      <w:r w:rsidRPr="00FE24C0">
        <w:t>100% of the cost of feeding</w:t>
      </w:r>
      <w:r w:rsidR="000D537D">
        <w:t xml:space="preserve"> the animals</w:t>
      </w:r>
      <w:r w:rsidRPr="00FE24C0">
        <w:t>, because the goal of the coverage is to protect against the death or sale at discount of the herd, and it is expected that even in the worst conditions some fo</w:t>
      </w:r>
      <w:r w:rsidR="000D537D">
        <w:t xml:space="preserve">dder and grazing will </w:t>
      </w:r>
      <w:r w:rsidRPr="00FE24C0">
        <w:t xml:space="preserve">still </w:t>
      </w:r>
      <w:r w:rsidR="000D537D">
        <w:t>be available at the individual farmer level</w:t>
      </w:r>
      <w:r w:rsidRPr="00FE24C0">
        <w:t xml:space="preserve">. Therefore, </w:t>
      </w:r>
      <w:r w:rsidRPr="00FE24C0">
        <w:rPr>
          <w:u w:val="single"/>
        </w:rPr>
        <w:t>the proposed coverage is 50% of the Nutritional Requirements</w:t>
      </w:r>
      <w:r w:rsidRPr="00FE24C0">
        <w:t xml:space="preserve"> of the herd, and the resulting Sum Insured would be AR$336.79 per cow and AR$ 261.58 per heifer. </w:t>
      </w:r>
    </w:p>
    <w:p w:rsidR="00680E4C" w:rsidRPr="00FE24C0" w:rsidRDefault="00444F9A" w:rsidP="00680E4C">
      <w:r w:rsidRPr="00FE24C0">
        <w:t xml:space="preserve">In all the SWBA insurable, according to SENASA data processed by ORA and World Bank specialists, there exist 764,186 cows and 294,521 heifers. Therefore, the </w:t>
      </w:r>
      <w:r w:rsidRPr="00FE24C0">
        <w:rPr>
          <w:u w:val="single"/>
        </w:rPr>
        <w:t>Total Sum Insured (TSI) for all SWBA would be AR$ 334,414,846</w:t>
      </w:r>
      <w:r w:rsidRPr="00FE24C0">
        <w:t>.</w:t>
      </w:r>
    </w:p>
    <w:p w:rsidR="00680E4C" w:rsidRPr="00FE24C0" w:rsidRDefault="00444F9A" w:rsidP="00680E4C">
      <w:r w:rsidRPr="00FE24C0">
        <w:t>The allocation of this TSI in each month in the cover period will be done according to the Nutritional Requirements of the herd in each District. Section 5.3 illustrates the allocation of the TSI with an example.</w:t>
      </w:r>
    </w:p>
    <w:p w:rsidR="00680E4C" w:rsidRDefault="00444F9A" w:rsidP="00680E4C">
      <w:r w:rsidRPr="00FE24C0">
        <w:t>The values exposed so far are just a proposal and could be modified by the stakeholders. The Excel Rating Tool developed by the World Bank team allows performing all the calculations with different specifications for the Sum Insured. For further details, see Section 4.3</w:t>
      </w:r>
      <w:r w:rsidR="00F65B38">
        <w:t xml:space="preserve"> of this Annex</w:t>
      </w:r>
      <w:r w:rsidRPr="00FE24C0">
        <w:t xml:space="preserve">. </w:t>
      </w:r>
    </w:p>
    <w:p w:rsidR="00843EDE" w:rsidRDefault="00843EDE" w:rsidP="00680E4C"/>
    <w:p w:rsidR="00536C63" w:rsidRDefault="00536C63" w:rsidP="00680E4C"/>
    <w:p w:rsidR="00536C63" w:rsidRDefault="00536C63" w:rsidP="00680E4C"/>
    <w:p w:rsidR="00193F63" w:rsidRPr="00695F04" w:rsidRDefault="00680E4C" w:rsidP="00593B59">
      <w:pPr>
        <w:pStyle w:val="Prrafodelista"/>
        <w:numPr>
          <w:ilvl w:val="0"/>
          <w:numId w:val="20"/>
        </w:numPr>
        <w:spacing w:before="240" w:after="240"/>
        <w:ind w:left="357" w:hanging="357"/>
        <w:rPr>
          <w:rFonts w:ascii="Times New Roman" w:hAnsi="Times New Roman"/>
          <w:b/>
          <w:sz w:val="32"/>
          <w:szCs w:val="32"/>
        </w:rPr>
      </w:pPr>
      <w:bookmarkStart w:id="65" w:name="_Toc337309988"/>
      <w:r w:rsidRPr="00695F04">
        <w:rPr>
          <w:rFonts w:ascii="Times New Roman" w:hAnsi="Times New Roman"/>
          <w:b/>
          <w:sz w:val="32"/>
          <w:szCs w:val="32"/>
        </w:rPr>
        <w:lastRenderedPageBreak/>
        <w:t>Using the Software Rating Tool</w:t>
      </w:r>
      <w:bookmarkEnd w:id="65"/>
    </w:p>
    <w:p w:rsidR="00680E4C" w:rsidRPr="00FE24C0" w:rsidRDefault="000A0B0B" w:rsidP="00680E4C">
      <w:pPr>
        <w:pStyle w:val="Ttulo2"/>
        <w:keepLines w:val="0"/>
        <w:numPr>
          <w:ilvl w:val="1"/>
          <w:numId w:val="0"/>
        </w:numPr>
        <w:tabs>
          <w:tab w:val="num" w:pos="576"/>
        </w:tabs>
        <w:spacing w:before="240" w:after="60"/>
        <w:ind w:left="576" w:hanging="576"/>
      </w:pPr>
      <w:bookmarkStart w:id="66" w:name="_Toc337309989"/>
      <w:r w:rsidRPr="00FE24C0">
        <w:t xml:space="preserve">4.1. </w:t>
      </w:r>
      <w:r w:rsidR="00680E4C" w:rsidRPr="00FE24C0">
        <w:t>Start-up the Rating Tool</w:t>
      </w:r>
      <w:bookmarkEnd w:id="66"/>
    </w:p>
    <w:p w:rsidR="004E79BD" w:rsidRPr="00FE24C0" w:rsidRDefault="004E79BD" w:rsidP="004E79BD">
      <w:pPr>
        <w:spacing w:after="0"/>
      </w:pPr>
    </w:p>
    <w:p w:rsidR="00680E4C" w:rsidRPr="00FE24C0" w:rsidRDefault="00444F9A" w:rsidP="004E79BD">
      <w:pPr>
        <w:spacing w:after="0"/>
      </w:pPr>
      <w:r w:rsidRPr="00FE24C0">
        <w:t xml:space="preserve">In order to use the Rating Tool, the main file </w:t>
      </w:r>
      <w:r w:rsidRPr="00FE24C0">
        <w:rPr>
          <w:b/>
          <w:i/>
        </w:rPr>
        <w:t>IBI_Parameter.xlsm</w:t>
      </w:r>
      <w:r w:rsidRPr="00FE24C0">
        <w:t xml:space="preserve"> should be opened. On opening, if the macro setting is as indicated in Section 2</w:t>
      </w:r>
      <w:r w:rsidR="00365F35">
        <w:t xml:space="preserve"> of this Annex</w:t>
      </w:r>
      <w:r w:rsidRPr="00FE24C0">
        <w:t xml:space="preserve">, Excel will show a “Security Warning”. To allow the software functioning correctly, user should press the button “Options” in the “Security Warning”, which will open the window “Microsoft Office Security Options”. On this window, both the external links and the macros should be enabled by selecting the </w:t>
      </w:r>
      <w:r w:rsidRPr="00FE24C0">
        <w:rPr>
          <w:b/>
          <w:i/>
        </w:rPr>
        <w:t>two option buttons “Enable this content”</w:t>
      </w:r>
      <w:r w:rsidRPr="00FE24C0">
        <w:t xml:space="preserve"> (See Figure </w:t>
      </w:r>
      <w:r w:rsidR="00365F35">
        <w:t>A2.</w:t>
      </w:r>
      <w:r w:rsidRPr="00FE24C0">
        <w:t xml:space="preserve">4).  </w:t>
      </w:r>
    </w:p>
    <w:p w:rsidR="00680E4C" w:rsidRPr="00FE24C0" w:rsidRDefault="00444F9A" w:rsidP="00680E4C">
      <w:r w:rsidRPr="00FE24C0">
        <w:t xml:space="preserve"> </w:t>
      </w:r>
    </w:p>
    <w:tbl>
      <w:tblPr>
        <w:tblStyle w:val="Tablaconcuadrcula"/>
        <w:tblW w:w="0" w:type="auto"/>
        <w:tblLook w:val="04A0"/>
      </w:tblPr>
      <w:tblGrid>
        <w:gridCol w:w="8856"/>
      </w:tblGrid>
      <w:tr w:rsidR="00680E4C" w:rsidRPr="00FE24C0" w:rsidTr="00680E4C">
        <w:tc>
          <w:tcPr>
            <w:tcW w:w="9778" w:type="dxa"/>
            <w:tcBorders>
              <w:bottom w:val="nil"/>
            </w:tcBorders>
          </w:tcPr>
          <w:p w:rsidR="00680E4C" w:rsidRPr="00FE24C0" w:rsidRDefault="003F5785" w:rsidP="00680E4C">
            <w:pPr>
              <w:tabs>
                <w:tab w:val="right" w:pos="9638"/>
              </w:tabs>
              <w:jc w:val="center"/>
              <w:rPr>
                <w:noProof/>
                <w:lang w:eastAsia="es-AR"/>
              </w:rPr>
            </w:pPr>
            <w:r w:rsidRPr="003F5785">
              <w:rPr>
                <w:noProof/>
                <w:lang w:eastAsia="en-US"/>
              </w:rPr>
              <w:pict>
                <v:shape id="AutoShape 95" o:spid="_x0000_s1092" type="#_x0000_t32" style="position:absolute;left:0;text-align:left;margin-left:201.25pt;margin-top:63.45pt;width:112.05pt;height:81.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bR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" strokecolor="red" strokeweight="1.5pt">
                  <v:stroke endarrow="block"/>
                </v:shape>
              </w:pict>
            </w:r>
            <w:r w:rsidRPr="003F5785">
              <w:rPr>
                <w:noProof/>
                <w:lang w:eastAsia="en-US"/>
              </w:rPr>
              <w:pict>
                <v:rect id="Rectangle 96" o:spid="_x0000_s1091" style="position:absolute;left:0;text-align:left;margin-left:313.3pt;margin-top:141.25pt;width:69.5pt;height:9.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" filled="f" strokecolor="red" strokeweight="1.5pt"/>
              </w:pict>
            </w:r>
            <w:r w:rsidRPr="003F5785">
              <w:rPr>
                <w:noProof/>
                <w:lang w:eastAsia="en-US"/>
              </w:rPr>
              <w:pict>
                <v:shape id="AutoShape 93" o:spid="_x0000_s1090" type="#_x0000_t32" style="position:absolute;left:0;text-align:left;margin-left:201.25pt;margin-top:60.3pt;width:112.05pt;height:36.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" strokecolor="red" strokeweight="1.5pt">
                  <v:stroke endarrow="block"/>
                </v:shape>
              </w:pict>
            </w:r>
            <w:r w:rsidRPr="003F5785">
              <w:rPr>
                <w:noProof/>
                <w:lang w:eastAsia="en-US"/>
              </w:rPr>
              <w:pict>
                <v:rect id="Rectangle 94" o:spid="_x0000_s1089" style="position:absolute;left:0;text-align:left;margin-left:313.3pt;margin-top:92.9pt;width:69.5pt;height:9.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" filled="f" strokecolor="red" strokeweight="1.5pt"/>
              </w:pict>
            </w:r>
            <w:r w:rsidRPr="003F5785">
              <w:rPr>
                <w:noProof/>
                <w:lang w:eastAsia="en-US"/>
              </w:rPr>
              <w:pict>
                <v:rect id="Rectangle 92" o:spid="_x0000_s1088" style="position:absolute;left:0;text-align:left;margin-left:-2.1pt;margin-top:55.95pt;width:203.35pt;height: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" filled="f" strokecolor="red" strokeweight="1.5pt"/>
              </w:pict>
            </w:r>
            <w:r w:rsidR="00193F63" w:rsidRPr="00FE24C0">
              <w:rPr>
                <w:noProof/>
                <w:lang w:val="es-AR" w:eastAsia="es-AR"/>
              </w:rPr>
              <w:drawing>
                <wp:inline distT="0" distB="0" distL="0" distR="0">
                  <wp:extent cx="3109307" cy="2091193"/>
                  <wp:effectExtent l="19050" t="0" r="0" b="0"/>
                  <wp:docPr id="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print"/>
                          <a:srcRect r="50996" b="41368"/>
                          <a:stretch>
                            <a:fillRect/>
                          </a:stretch>
                        </pic:blipFill>
                        <pic:spPr bwMode="auto">
                          <a:xfrm>
                            <a:off x="0" y="0"/>
                            <a:ext cx="3109756" cy="2091495"/>
                          </a:xfrm>
                          <a:prstGeom prst="rect">
                            <a:avLst/>
                          </a:prstGeom>
                          <a:noFill/>
                          <a:ln w="9525">
                            <a:noFill/>
                            <a:miter lim="800000"/>
                            <a:headEnd/>
                            <a:tailEnd/>
                          </a:ln>
                        </pic:spPr>
                      </pic:pic>
                    </a:graphicData>
                  </a:graphic>
                </wp:inline>
              </w:drawing>
            </w:r>
            <w:r w:rsidR="00444F9A" w:rsidRPr="00FE24C0">
              <w:rPr>
                <w:noProof/>
                <w:lang w:eastAsia="es-AR"/>
              </w:rPr>
              <w:tab/>
            </w:r>
            <w:r w:rsidR="00193F63" w:rsidRPr="00FE24C0">
              <w:rPr>
                <w:noProof/>
                <w:lang w:val="es-AR" w:eastAsia="es-AR"/>
              </w:rPr>
              <w:drawing>
                <wp:inline distT="0" distB="0" distL="0" distR="0">
                  <wp:extent cx="2576223" cy="2101546"/>
                  <wp:effectExtent l="19050" t="0" r="0" b="0"/>
                  <wp:docPr id="8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srcRect l="7839" t="18071" r="49955" b="20698"/>
                          <a:stretch>
                            <a:fillRect/>
                          </a:stretch>
                        </pic:blipFill>
                        <pic:spPr bwMode="auto">
                          <a:xfrm>
                            <a:off x="0" y="0"/>
                            <a:ext cx="2576223" cy="2101546"/>
                          </a:xfrm>
                          <a:prstGeom prst="rect">
                            <a:avLst/>
                          </a:prstGeom>
                          <a:noFill/>
                          <a:ln w="9525">
                            <a:noFill/>
                            <a:miter lim="800000"/>
                            <a:headEnd/>
                            <a:tailEnd/>
                          </a:ln>
                        </pic:spPr>
                      </pic:pic>
                    </a:graphicData>
                  </a:graphic>
                </wp:inline>
              </w:drawing>
            </w:r>
            <w:r w:rsidR="00444F9A" w:rsidRPr="00FE24C0">
              <w:rPr>
                <w:noProof/>
                <w:lang w:eastAsia="es-AR"/>
              </w:rPr>
              <w:tab/>
            </w:r>
          </w:p>
        </w:tc>
      </w:tr>
      <w:tr w:rsidR="00680E4C" w:rsidRPr="008876E4" w:rsidTr="00680E4C">
        <w:tc>
          <w:tcPr>
            <w:tcW w:w="9778" w:type="dxa"/>
            <w:tcBorders>
              <w:top w:val="nil"/>
            </w:tcBorders>
          </w:tcPr>
          <w:p w:rsidR="00680E4C" w:rsidRPr="00E43164" w:rsidRDefault="00365F35" w:rsidP="00365F35">
            <w:pPr>
              <w:tabs>
                <w:tab w:val="right" w:pos="9638"/>
              </w:tabs>
              <w:jc w:val="center"/>
              <w:rPr>
                <w:noProof/>
                <w:sz w:val="16"/>
                <w:szCs w:val="16"/>
                <w:lang w:val="en-GB" w:eastAsia="es-AR"/>
              </w:rPr>
            </w:pPr>
            <w:r w:rsidRPr="00E43164">
              <w:rPr>
                <w:noProof/>
                <w:sz w:val="16"/>
                <w:szCs w:val="16"/>
                <w:lang w:val="en-GB" w:eastAsia="es-AR"/>
              </w:rPr>
              <w:t>Excel Secutity Warning</w:t>
            </w:r>
            <w:r w:rsidR="00444F9A" w:rsidRPr="00E43164">
              <w:rPr>
                <w:noProof/>
                <w:sz w:val="16"/>
                <w:szCs w:val="16"/>
                <w:lang w:val="en-GB" w:eastAsia="es-AR"/>
              </w:rPr>
              <w:t xml:space="preserve"> =&gt; </w:t>
            </w:r>
            <w:r w:rsidRPr="00E43164">
              <w:rPr>
                <w:noProof/>
                <w:sz w:val="16"/>
                <w:szCs w:val="16"/>
                <w:lang w:val="en-GB" w:eastAsia="es-AR"/>
              </w:rPr>
              <w:t>Enable Macros and External Links</w:t>
            </w:r>
          </w:p>
        </w:tc>
      </w:tr>
      <w:tr w:rsidR="00680E4C" w:rsidRPr="00FE24C0" w:rsidTr="00680E4C">
        <w:tc>
          <w:tcPr>
            <w:tcW w:w="9778" w:type="dxa"/>
          </w:tcPr>
          <w:p w:rsidR="00680E4C" w:rsidRPr="00FE24C0" w:rsidRDefault="00444F9A" w:rsidP="00680E4C">
            <w:pPr>
              <w:tabs>
                <w:tab w:val="right" w:pos="9638"/>
              </w:tabs>
              <w:jc w:val="left"/>
              <w:rPr>
                <w:b/>
                <w:noProof/>
                <w:sz w:val="16"/>
                <w:szCs w:val="16"/>
                <w:lang w:eastAsia="es-AR"/>
              </w:rPr>
            </w:pPr>
            <w:r w:rsidRPr="00FE24C0">
              <w:rPr>
                <w:b/>
                <w:noProof/>
                <w:sz w:val="16"/>
                <w:szCs w:val="16"/>
                <w:lang w:eastAsia="es-AR"/>
              </w:rPr>
              <w:t xml:space="preserve">Figure </w:t>
            </w:r>
            <w:r w:rsidR="00365F35">
              <w:rPr>
                <w:b/>
                <w:noProof/>
                <w:sz w:val="16"/>
                <w:szCs w:val="16"/>
                <w:lang w:eastAsia="es-AR"/>
              </w:rPr>
              <w:t>A2.</w:t>
            </w:r>
            <w:r w:rsidRPr="00FE24C0">
              <w:rPr>
                <w:b/>
                <w:noProof/>
                <w:sz w:val="16"/>
                <w:szCs w:val="16"/>
                <w:lang w:eastAsia="es-AR"/>
              </w:rPr>
              <w:t>4: MS Excel® 2007 Security Warning.</w:t>
            </w:r>
          </w:p>
        </w:tc>
      </w:tr>
    </w:tbl>
    <w:p w:rsidR="00680E4C" w:rsidRPr="00FE24C0" w:rsidRDefault="00680E4C" w:rsidP="004E79BD">
      <w:pPr>
        <w:spacing w:after="0"/>
      </w:pPr>
    </w:p>
    <w:p w:rsidR="00680E4C" w:rsidRPr="00FE24C0" w:rsidRDefault="00444F9A" w:rsidP="004E79BD">
      <w:pPr>
        <w:spacing w:after="0"/>
      </w:pPr>
      <w:r w:rsidRPr="00FE24C0">
        <w:t xml:space="preserve">By enabling the macros and external links, the rating tool will ask the user permission to open the twelve (12) files with the information of each one of the </w:t>
      </w:r>
      <w:r w:rsidR="00865CC5">
        <w:t>Departments</w:t>
      </w:r>
      <w:r w:rsidRPr="00FE24C0">
        <w:t xml:space="preserve"> in SWBA (see Figure </w:t>
      </w:r>
      <w:r w:rsidR="00365F35">
        <w:t>A2.</w:t>
      </w:r>
      <w:r w:rsidRPr="00FE24C0">
        <w:t>5). Press the button “OK” to open the twelve linked files and to perform calculations with the Rating Tool. The load of these files could take a moment, depending on the PC's hardware.</w:t>
      </w:r>
    </w:p>
    <w:p w:rsidR="00680E4C" w:rsidRPr="00FE24C0" w:rsidRDefault="00680E4C" w:rsidP="00680E4C">
      <w:pPr>
        <w:rPr>
          <w:noProof/>
          <w:lang w:eastAsia="es-AR"/>
        </w:rPr>
      </w:pPr>
    </w:p>
    <w:tbl>
      <w:tblPr>
        <w:tblStyle w:val="Tablaconcuadrcula"/>
        <w:tblW w:w="0" w:type="auto"/>
        <w:jc w:val="center"/>
        <w:tblLook w:val="04A0"/>
      </w:tblPr>
      <w:tblGrid>
        <w:gridCol w:w="6912"/>
      </w:tblGrid>
      <w:tr w:rsidR="00680E4C" w:rsidRPr="00FE24C0" w:rsidTr="00680E4C">
        <w:trPr>
          <w:jc w:val="center"/>
        </w:trPr>
        <w:tc>
          <w:tcPr>
            <w:tcW w:w="6912" w:type="dxa"/>
          </w:tcPr>
          <w:p w:rsidR="00680E4C" w:rsidRPr="00FE24C0" w:rsidRDefault="00193F63" w:rsidP="00680E4C">
            <w:pPr>
              <w:jc w:val="center"/>
            </w:pPr>
            <w:r w:rsidRPr="00FE24C0">
              <w:rPr>
                <w:noProof/>
                <w:lang w:val="es-AR" w:eastAsia="es-AR"/>
              </w:rPr>
              <w:drawing>
                <wp:inline distT="0" distB="0" distL="0" distR="0">
                  <wp:extent cx="2814762" cy="938254"/>
                  <wp:effectExtent l="19050" t="0" r="4638" b="0"/>
                  <wp:docPr id="8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cstate="print"/>
                          <a:srcRect l="32708" t="41252" r="32354" b="38024"/>
                          <a:stretch>
                            <a:fillRect/>
                          </a:stretch>
                        </pic:blipFill>
                        <pic:spPr bwMode="auto">
                          <a:xfrm>
                            <a:off x="0" y="0"/>
                            <a:ext cx="2814762" cy="938254"/>
                          </a:xfrm>
                          <a:prstGeom prst="rect">
                            <a:avLst/>
                          </a:prstGeom>
                          <a:noFill/>
                          <a:ln w="9525">
                            <a:noFill/>
                            <a:miter lim="800000"/>
                            <a:headEnd/>
                            <a:tailEnd/>
                          </a:ln>
                        </pic:spPr>
                      </pic:pic>
                    </a:graphicData>
                  </a:graphic>
                </wp:inline>
              </w:drawing>
            </w:r>
          </w:p>
        </w:tc>
      </w:tr>
      <w:tr w:rsidR="00680E4C" w:rsidRPr="00FE24C0" w:rsidTr="00680E4C">
        <w:trPr>
          <w:jc w:val="center"/>
        </w:trPr>
        <w:tc>
          <w:tcPr>
            <w:tcW w:w="6912" w:type="dxa"/>
          </w:tcPr>
          <w:p w:rsidR="00680E4C" w:rsidRPr="00FE24C0" w:rsidRDefault="00444F9A" w:rsidP="00680E4C">
            <w:pPr>
              <w:pStyle w:val="Textocomentario"/>
              <w:rPr>
                <w:b/>
                <w:noProof/>
                <w:sz w:val="16"/>
                <w:szCs w:val="16"/>
                <w:lang w:eastAsia="es-AR"/>
              </w:rPr>
            </w:pPr>
            <w:r w:rsidRPr="00FE24C0">
              <w:rPr>
                <w:b/>
                <w:noProof/>
                <w:sz w:val="16"/>
                <w:szCs w:val="16"/>
                <w:lang w:eastAsia="es-AR"/>
              </w:rPr>
              <w:t xml:space="preserve">Figure </w:t>
            </w:r>
            <w:r w:rsidR="00365F35">
              <w:rPr>
                <w:b/>
                <w:noProof/>
                <w:sz w:val="16"/>
                <w:szCs w:val="16"/>
                <w:lang w:eastAsia="es-AR"/>
              </w:rPr>
              <w:t>A2.</w:t>
            </w:r>
            <w:r w:rsidRPr="00FE24C0">
              <w:rPr>
                <w:b/>
                <w:noProof/>
                <w:sz w:val="16"/>
                <w:szCs w:val="16"/>
                <w:lang w:eastAsia="es-AR"/>
              </w:rPr>
              <w:t xml:space="preserve">5. Excel window shown when opening </w:t>
            </w:r>
            <w:r w:rsidRPr="00FE24C0">
              <w:rPr>
                <w:b/>
                <w:i/>
                <w:noProof/>
                <w:sz w:val="16"/>
                <w:szCs w:val="16"/>
                <w:lang w:eastAsia="es-AR"/>
              </w:rPr>
              <w:t>IBI_Parameter.xlsm</w:t>
            </w:r>
            <w:r w:rsidRPr="00FE24C0">
              <w:rPr>
                <w:b/>
                <w:noProof/>
                <w:sz w:val="16"/>
                <w:szCs w:val="16"/>
                <w:lang w:eastAsia="es-AR"/>
              </w:rPr>
              <w:t>, asking permission to open the remaining files of the Rating Tool.</w:t>
            </w:r>
          </w:p>
        </w:tc>
      </w:tr>
    </w:tbl>
    <w:p w:rsidR="00680E4C" w:rsidRPr="00FE24C0" w:rsidRDefault="00680E4C" w:rsidP="00680E4C">
      <w:pPr>
        <w:rPr>
          <w:noProof/>
          <w:lang w:eastAsia="es-AR"/>
        </w:rPr>
      </w:pPr>
    </w:p>
    <w:p w:rsidR="00680E4C" w:rsidRPr="00FE24C0" w:rsidRDefault="00444F9A" w:rsidP="004E79BD">
      <w:pPr>
        <w:spacing w:after="0"/>
        <w:rPr>
          <w:noProof/>
          <w:lang w:eastAsia="es-AR"/>
        </w:rPr>
      </w:pPr>
      <w:r w:rsidRPr="00FE24C0">
        <w:rPr>
          <w:noProof/>
          <w:lang w:eastAsia="es-AR"/>
        </w:rPr>
        <w:t xml:space="preserve">In case the user refuse to open all the files by pressing “No”, modifications in parameter values will not be shown in the spreadsheet. </w:t>
      </w:r>
      <w:r w:rsidRPr="00FE24C0">
        <w:rPr>
          <w:b/>
          <w:noProof/>
          <w:u w:val="single"/>
          <w:lang w:eastAsia="es-AR"/>
        </w:rPr>
        <w:t xml:space="preserve">For the changes in parameters to take effect in </w:t>
      </w:r>
      <w:r w:rsidRPr="00FE24C0">
        <w:rPr>
          <w:b/>
          <w:noProof/>
          <w:u w:val="single"/>
          <w:lang w:eastAsia="es-AR"/>
        </w:rPr>
        <w:lastRenderedPageBreak/>
        <w:t xml:space="preserve">calculations, it is indispensable that the thirteen (13) files mentioned in Section 1 </w:t>
      </w:r>
      <w:r w:rsidR="00365F35">
        <w:rPr>
          <w:b/>
          <w:noProof/>
          <w:u w:val="single"/>
          <w:lang w:eastAsia="es-AR"/>
        </w:rPr>
        <w:t xml:space="preserve">of this Annex </w:t>
      </w:r>
      <w:r w:rsidRPr="00FE24C0">
        <w:rPr>
          <w:b/>
          <w:noProof/>
          <w:u w:val="single"/>
          <w:lang w:eastAsia="es-AR"/>
        </w:rPr>
        <w:t>are open</w:t>
      </w:r>
      <w:r w:rsidRPr="00FE24C0">
        <w:rPr>
          <w:noProof/>
          <w:lang w:eastAsia="es-AR"/>
        </w:rPr>
        <w:t>.</w:t>
      </w:r>
    </w:p>
    <w:p w:rsidR="00680E4C" w:rsidRPr="00FE24C0" w:rsidRDefault="00680E4C" w:rsidP="004E79BD">
      <w:pPr>
        <w:spacing w:after="0"/>
      </w:pPr>
    </w:p>
    <w:p w:rsidR="00680E4C" w:rsidRPr="00CE2699" w:rsidRDefault="00CE2699" w:rsidP="00CE2699">
      <w:pPr>
        <w:pStyle w:val="Ttulo2"/>
        <w:keepLines w:val="0"/>
        <w:numPr>
          <w:ilvl w:val="1"/>
          <w:numId w:val="0"/>
        </w:numPr>
        <w:tabs>
          <w:tab w:val="num" w:pos="576"/>
        </w:tabs>
        <w:spacing w:before="240" w:after="60"/>
        <w:ind w:left="576" w:hanging="576"/>
      </w:pPr>
      <w:bookmarkStart w:id="67" w:name="_Toc337309990"/>
      <w:r>
        <w:t xml:space="preserve">4.2. </w:t>
      </w:r>
      <w:r w:rsidR="00680E4C" w:rsidRPr="00CE2699">
        <w:t>Model Parameter changes</w:t>
      </w:r>
      <w:bookmarkEnd w:id="67"/>
    </w:p>
    <w:p w:rsidR="00CE2699" w:rsidRDefault="00CE2699" w:rsidP="004E79BD">
      <w:pPr>
        <w:spacing w:after="0"/>
      </w:pPr>
    </w:p>
    <w:p w:rsidR="00680E4C" w:rsidRPr="00FE24C0" w:rsidRDefault="00444F9A" w:rsidP="004E79BD">
      <w:pPr>
        <w:spacing w:after="0"/>
      </w:pPr>
      <w:r w:rsidRPr="00FE24C0">
        <w:t xml:space="preserve">In the main file, </w:t>
      </w:r>
      <w:r w:rsidRPr="00FE24C0">
        <w:rPr>
          <w:b/>
          <w:i/>
        </w:rPr>
        <w:t>IBI_Parameter.xlsm</w:t>
      </w:r>
      <w:r w:rsidRPr="00FE24C0">
        <w:t xml:space="preserve">, the cells with font color red are parameters that the user can modify. In Figure </w:t>
      </w:r>
      <w:r w:rsidR="007201D2">
        <w:t>A2.</w:t>
      </w:r>
      <w:r w:rsidRPr="00FE24C0">
        <w:t>6 is shown a screen shot of the main spreadsheet, where the parameters are inside the red circle.</w:t>
      </w:r>
    </w:p>
    <w:tbl>
      <w:tblPr>
        <w:tblStyle w:val="Tablaconcuadrcula"/>
        <w:tblW w:w="0" w:type="auto"/>
        <w:jc w:val="center"/>
        <w:tblLook w:val="04A0"/>
      </w:tblPr>
      <w:tblGrid>
        <w:gridCol w:w="6606"/>
      </w:tblGrid>
      <w:tr w:rsidR="00680E4C" w:rsidRPr="00FE24C0" w:rsidTr="00680E4C">
        <w:trPr>
          <w:jc w:val="center"/>
        </w:trPr>
        <w:tc>
          <w:tcPr>
            <w:tcW w:w="6536" w:type="dxa"/>
          </w:tcPr>
          <w:p w:rsidR="00680E4C" w:rsidRPr="00FE24C0" w:rsidRDefault="003F5785" w:rsidP="00680E4C">
            <w:pPr>
              <w:tabs>
                <w:tab w:val="right" w:pos="9638"/>
              </w:tabs>
              <w:jc w:val="center"/>
              <w:rPr>
                <w:noProof/>
                <w:lang w:eastAsia="es-AR"/>
              </w:rPr>
            </w:pPr>
            <w:r w:rsidRPr="003F5785">
              <w:rPr>
                <w:noProof/>
                <w:lang w:eastAsia="en-US"/>
              </w:rPr>
              <w:pict>
                <v:oval id="Oval 97" o:spid="_x0000_s1087" style="position:absolute;left:0;text-align:left;margin-left:55.5pt;margin-top:38.65pt;width:196.5pt;height:15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" filled="f" strokecolor="red" strokeweight="1.5pt"/>
              </w:pict>
            </w:r>
            <w:r w:rsidR="007201D2">
              <w:rPr>
                <w:noProof/>
                <w:lang w:eastAsia="es-AR"/>
              </w:rPr>
              <w:t xml:space="preserve"> </w:t>
            </w:r>
            <w:r w:rsidR="00E43164">
              <w:rPr>
                <w:noProof/>
                <w:lang w:val="es-AR" w:eastAsia="es-AR"/>
              </w:rPr>
              <w:drawing>
                <wp:inline distT="0" distB="0" distL="0" distR="0">
                  <wp:extent cx="4038600" cy="3023181"/>
                  <wp:effectExtent l="19050" t="0" r="0" b="0"/>
                  <wp:docPr id="13"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9" cstate="print"/>
                          <a:srcRect t="26272" r="69565" b="35257"/>
                          <a:stretch>
                            <a:fillRect/>
                          </a:stretch>
                        </pic:blipFill>
                        <pic:spPr bwMode="auto">
                          <a:xfrm>
                            <a:off x="0" y="0"/>
                            <a:ext cx="4038600" cy="3023181"/>
                          </a:xfrm>
                          <a:prstGeom prst="rect">
                            <a:avLst/>
                          </a:prstGeom>
                          <a:noFill/>
                          <a:ln w="9525">
                            <a:noFill/>
                            <a:miter lim="800000"/>
                            <a:headEnd/>
                            <a:tailEnd/>
                          </a:ln>
                        </pic:spPr>
                      </pic:pic>
                    </a:graphicData>
                  </a:graphic>
                </wp:inline>
              </w:drawing>
            </w:r>
          </w:p>
        </w:tc>
      </w:tr>
      <w:tr w:rsidR="00680E4C" w:rsidRPr="00FE24C0" w:rsidTr="00680E4C">
        <w:trPr>
          <w:jc w:val="center"/>
        </w:trPr>
        <w:tc>
          <w:tcPr>
            <w:tcW w:w="6536" w:type="dxa"/>
          </w:tcPr>
          <w:p w:rsidR="00680E4C" w:rsidRPr="00FE24C0" w:rsidRDefault="00444F9A" w:rsidP="00680E4C">
            <w:pPr>
              <w:tabs>
                <w:tab w:val="right" w:pos="9638"/>
              </w:tabs>
              <w:jc w:val="center"/>
              <w:rPr>
                <w:b/>
                <w:noProof/>
                <w:sz w:val="16"/>
                <w:szCs w:val="16"/>
                <w:lang w:eastAsia="es-AR"/>
              </w:rPr>
            </w:pPr>
            <w:r w:rsidRPr="00FE24C0">
              <w:rPr>
                <w:b/>
                <w:noProof/>
                <w:sz w:val="16"/>
                <w:szCs w:val="16"/>
                <w:lang w:eastAsia="es-AR"/>
              </w:rPr>
              <w:t xml:space="preserve">Figure </w:t>
            </w:r>
            <w:r w:rsidR="007201D2">
              <w:rPr>
                <w:b/>
                <w:noProof/>
                <w:sz w:val="16"/>
                <w:szCs w:val="16"/>
                <w:lang w:eastAsia="es-AR"/>
              </w:rPr>
              <w:t>A2.</w:t>
            </w:r>
            <w:r w:rsidRPr="00FE24C0">
              <w:rPr>
                <w:b/>
                <w:noProof/>
                <w:sz w:val="16"/>
                <w:szCs w:val="16"/>
                <w:lang w:eastAsia="es-AR"/>
              </w:rPr>
              <w:t xml:space="preserve">6. Parameters in file </w:t>
            </w:r>
            <w:r w:rsidRPr="00FE24C0">
              <w:rPr>
                <w:b/>
                <w:i/>
                <w:noProof/>
                <w:sz w:val="16"/>
                <w:szCs w:val="16"/>
                <w:lang w:eastAsia="es-AR"/>
              </w:rPr>
              <w:t>IBI_Parameter.xlsm</w:t>
            </w:r>
          </w:p>
        </w:tc>
      </w:tr>
    </w:tbl>
    <w:p w:rsidR="00680E4C" w:rsidRPr="00FE24C0" w:rsidRDefault="00680E4C" w:rsidP="004E79BD">
      <w:pPr>
        <w:spacing w:after="0"/>
      </w:pPr>
    </w:p>
    <w:p w:rsidR="00680E4C" w:rsidRPr="00FE24C0" w:rsidRDefault="00444F9A" w:rsidP="00680E4C">
      <w:r w:rsidRPr="00FE24C0">
        <w:t>The parameters that the user can set are</w:t>
      </w:r>
      <w:r w:rsidRPr="00FE24C0">
        <w:rPr>
          <w:rStyle w:val="Refdenotaalpie"/>
        </w:rPr>
        <w:footnoteReference w:id="41"/>
      </w:r>
      <w:r w:rsidRPr="00FE24C0">
        <w:t>:</w:t>
      </w:r>
    </w:p>
    <w:p w:rsidR="00680E4C" w:rsidRPr="00FE24C0" w:rsidRDefault="00444F9A" w:rsidP="00593B59">
      <w:pPr>
        <w:pStyle w:val="Prrafodelista"/>
        <w:numPr>
          <w:ilvl w:val="0"/>
          <w:numId w:val="13"/>
        </w:numPr>
        <w:spacing w:after="0" w:line="240" w:lineRule="auto"/>
        <w:ind w:left="850" w:hanging="284"/>
        <w:outlineLvl w:val="9"/>
        <w:rPr>
          <w:rFonts w:ascii="Times New Roman" w:hAnsi="Times New Roman"/>
        </w:rPr>
      </w:pPr>
      <w:r w:rsidRPr="00FE24C0">
        <w:rPr>
          <w:rFonts w:ascii="Times New Roman" w:hAnsi="Times New Roman"/>
          <w:b/>
          <w:i/>
          <w:u w:val="single"/>
        </w:rPr>
        <w:t>Período de Recurrencia</w:t>
      </w:r>
      <w:r w:rsidRPr="00FE24C0">
        <w:rPr>
          <w:rFonts w:ascii="Times New Roman" w:hAnsi="Times New Roman"/>
        </w:rPr>
        <w:t xml:space="preserve"> (RP, Return Period): indicates the frequency </w:t>
      </w:r>
      <w:r w:rsidR="007201D2">
        <w:rPr>
          <w:rFonts w:ascii="Times New Roman" w:hAnsi="Times New Roman"/>
        </w:rPr>
        <w:t xml:space="preserve">(years) </w:t>
      </w:r>
      <w:r w:rsidRPr="00FE24C0">
        <w:rPr>
          <w:rFonts w:ascii="Times New Roman" w:hAnsi="Times New Roman"/>
        </w:rPr>
        <w:t xml:space="preserve">of the payouts that is expected in </w:t>
      </w:r>
      <w:r w:rsidR="007201D2">
        <w:rPr>
          <w:rFonts w:ascii="Times New Roman" w:hAnsi="Times New Roman"/>
        </w:rPr>
        <w:t>each month of the cover period</w:t>
      </w:r>
      <w:r w:rsidRPr="00FE24C0">
        <w:rPr>
          <w:rFonts w:ascii="Times New Roman" w:hAnsi="Times New Roman"/>
        </w:rPr>
        <w:t xml:space="preserve">. The value of this parameter is used to calculate the Trigger and Exit. </w:t>
      </w:r>
    </w:p>
    <w:p w:rsidR="00680E4C" w:rsidRPr="00FE24C0" w:rsidRDefault="00680E4C" w:rsidP="004E79BD">
      <w:pPr>
        <w:pStyle w:val="Prrafodelista"/>
        <w:spacing w:after="0"/>
        <w:ind w:left="850"/>
        <w:rPr>
          <w:rFonts w:ascii="Times New Roman" w:hAnsi="Times New Roman"/>
        </w:rPr>
      </w:pPr>
    </w:p>
    <w:p w:rsidR="00680E4C" w:rsidRPr="00FE24C0" w:rsidRDefault="00444F9A" w:rsidP="00593B59">
      <w:pPr>
        <w:pStyle w:val="Prrafodelista"/>
        <w:numPr>
          <w:ilvl w:val="0"/>
          <w:numId w:val="13"/>
        </w:numPr>
        <w:spacing w:after="0" w:line="240" w:lineRule="auto"/>
        <w:ind w:left="850" w:hanging="284"/>
        <w:outlineLvl w:val="9"/>
        <w:rPr>
          <w:rFonts w:ascii="Times New Roman" w:hAnsi="Times New Roman"/>
        </w:rPr>
      </w:pPr>
      <w:r w:rsidRPr="00FE24C0">
        <w:rPr>
          <w:rFonts w:ascii="Times New Roman" w:hAnsi="Times New Roman"/>
          <w:b/>
          <w:i/>
          <w:u w:val="single"/>
        </w:rPr>
        <w:t>Método</w:t>
      </w:r>
      <w:r w:rsidRPr="00FE24C0">
        <w:rPr>
          <w:rFonts w:ascii="Times New Roman" w:hAnsi="Times New Roman"/>
        </w:rPr>
        <w:t xml:space="preserve"> (Method): it can be chosen between a fitting of the historical data to a Normal distribution (Método = “Normal”) or to use the historical distribution (Método = “Hist.”). According to this choice, and using the Return Period, the Triggers are calculated for each one of the Cuartels in each one of the </w:t>
      </w:r>
      <w:r w:rsidR="00865CC5">
        <w:rPr>
          <w:rFonts w:ascii="Times New Roman" w:hAnsi="Times New Roman"/>
        </w:rPr>
        <w:t>Departments</w:t>
      </w:r>
      <w:r w:rsidRPr="00FE24C0">
        <w:rPr>
          <w:rFonts w:ascii="Times New Roman" w:hAnsi="Times New Roman"/>
        </w:rPr>
        <w:t>.</w:t>
      </w:r>
    </w:p>
    <w:p w:rsidR="00680E4C" w:rsidRPr="00FE24C0" w:rsidRDefault="00680E4C" w:rsidP="00680E4C">
      <w:pPr>
        <w:pStyle w:val="Prrafodelista"/>
        <w:ind w:left="851"/>
        <w:rPr>
          <w:rFonts w:ascii="Times New Roman" w:hAnsi="Times New Roman"/>
        </w:rPr>
      </w:pPr>
    </w:p>
    <w:p w:rsidR="00680E4C" w:rsidRPr="00FE24C0" w:rsidRDefault="00444F9A" w:rsidP="00593B59">
      <w:pPr>
        <w:pStyle w:val="Prrafodelista"/>
        <w:numPr>
          <w:ilvl w:val="0"/>
          <w:numId w:val="13"/>
        </w:numPr>
        <w:spacing w:before="60" w:after="0" w:line="240" w:lineRule="auto"/>
        <w:ind w:left="851" w:hanging="284"/>
        <w:outlineLvl w:val="9"/>
        <w:rPr>
          <w:rFonts w:ascii="Times New Roman" w:hAnsi="Times New Roman"/>
        </w:rPr>
      </w:pPr>
      <w:r w:rsidRPr="00FE24C0">
        <w:rPr>
          <w:rFonts w:ascii="Times New Roman" w:hAnsi="Times New Roman"/>
          <w:b/>
          <w:u w:val="single"/>
        </w:rPr>
        <w:lastRenderedPageBreak/>
        <w:t>Desvío para Trigger Index</w:t>
      </w:r>
      <w:r w:rsidRPr="00FE24C0">
        <w:rPr>
          <w:rFonts w:ascii="Times New Roman" w:hAnsi="Times New Roman"/>
        </w:rPr>
        <w:t xml:space="preserve"> (deviation for Trigger</w:t>
      </w:r>
      <w:proofErr w:type="gramStart"/>
      <w:r w:rsidRPr="00FE24C0">
        <w:rPr>
          <w:rFonts w:ascii="Times New Roman" w:hAnsi="Times New Roman"/>
        </w:rPr>
        <w:t xml:space="preserve">, </w:t>
      </w:r>
      <w:proofErr w:type="gramEnd"/>
      <w:r w:rsidR="00680E4C" w:rsidRPr="00FE24C0">
        <w:rPr>
          <w:rFonts w:ascii="Times New Roman" w:hAnsi="Times New Roman"/>
          <w:position w:val="-12"/>
        </w:rPr>
        <w:object w:dxaOrig="460" w:dyaOrig="360">
          <v:shape id="_x0000_i1055" type="#_x0000_t75" style="width:22.5pt;height:18.75pt" o:ole="">
            <v:imagedata r:id="rId140" o:title=""/>
          </v:shape>
          <o:OLEObject Type="Embed" ProgID="Equation.DSMT4" ShapeID="_x0000_i1055" DrawAspect="Content" ObjectID="_1419536194" r:id="rId141"/>
        </w:object>
      </w:r>
      <w:r w:rsidRPr="00FE24C0">
        <w:rPr>
          <w:rFonts w:ascii="Times New Roman" w:hAnsi="Times New Roman"/>
        </w:rPr>
        <w:t>): is not a parameter modifiable</w:t>
      </w:r>
      <w:r w:rsidR="007201D2">
        <w:rPr>
          <w:rFonts w:ascii="Times New Roman" w:hAnsi="Times New Roman"/>
        </w:rPr>
        <w:t xml:space="preserve"> by the user</w:t>
      </w:r>
      <w:r w:rsidRPr="00FE24C0">
        <w:rPr>
          <w:rFonts w:ascii="Times New Roman" w:hAnsi="Times New Roman"/>
        </w:rPr>
        <w:t xml:space="preserve">. In case “Método = Normal” is chosen, this cell shows the number of standard deviation below the mean in which the Trigger is set, according to the RP. Specifically, the Trigger in each Cluster and in each month of the cover period, </w:t>
      </w:r>
      <w:r w:rsidR="00680E4C" w:rsidRPr="00FE24C0">
        <w:rPr>
          <w:rFonts w:ascii="Times New Roman" w:hAnsi="Times New Roman"/>
          <w:position w:val="-12"/>
        </w:rPr>
        <w:object w:dxaOrig="460" w:dyaOrig="320">
          <v:shape id="_x0000_i1056" type="#_x0000_t75" style="width:24pt;height:16.5pt" o:ole="">
            <v:imagedata r:id="rId142" o:title=""/>
          </v:shape>
          <o:OLEObject Type="Embed" ProgID="Equation.DSMT4" ShapeID="_x0000_i1056" DrawAspect="Content" ObjectID="_1419536195" r:id="rId143"/>
        </w:object>
      </w:r>
      <w:r w:rsidRPr="00FE24C0">
        <w:rPr>
          <w:rFonts w:ascii="Times New Roman" w:hAnsi="Times New Roman"/>
        </w:rPr>
        <w:t>, is:</w:t>
      </w:r>
    </w:p>
    <w:p w:rsidR="00680E4C" w:rsidRPr="00FE24C0" w:rsidRDefault="00680E4C" w:rsidP="00680E4C">
      <w:pPr>
        <w:pStyle w:val="Prrafodelista"/>
        <w:ind w:left="851"/>
        <w:jc w:val="center"/>
        <w:rPr>
          <w:rFonts w:ascii="Times New Roman" w:hAnsi="Times New Roman"/>
        </w:rPr>
      </w:pPr>
      <w:r w:rsidRPr="00FE24C0">
        <w:rPr>
          <w:rFonts w:ascii="Times New Roman" w:hAnsi="Times New Roman"/>
          <w:position w:val="-12"/>
        </w:rPr>
        <w:object w:dxaOrig="2100" w:dyaOrig="320">
          <v:shape id="_x0000_i1057" type="#_x0000_t75" style="width:105pt;height:16.5pt" o:ole="">
            <v:imagedata r:id="rId144" o:title=""/>
          </v:shape>
          <o:OLEObject Type="Embed" ProgID="Equation.DSMT4" ShapeID="_x0000_i1057" DrawAspect="Content" ObjectID="_1419536196" r:id="rId145"/>
        </w:object>
      </w:r>
    </w:p>
    <w:p w:rsidR="00680E4C" w:rsidRPr="00FE24C0" w:rsidRDefault="00444F9A" w:rsidP="00680E4C">
      <w:pPr>
        <w:ind w:left="851"/>
      </w:pPr>
      <w:r w:rsidRPr="00FE24C0">
        <w:t xml:space="preserve">Where </w:t>
      </w:r>
      <w:r w:rsidR="00680E4C" w:rsidRPr="00FE24C0">
        <w:rPr>
          <w:position w:val="-12"/>
        </w:rPr>
        <w:object w:dxaOrig="420" w:dyaOrig="320">
          <v:shape id="_x0000_i1058" type="#_x0000_t75" style="width:22.5pt;height:16.5pt" o:ole="">
            <v:imagedata r:id="rId146" o:title=""/>
          </v:shape>
          <o:OLEObject Type="Embed" ProgID="Equation.DSMT4" ShapeID="_x0000_i1058" DrawAspect="Content" ObjectID="_1419536197" r:id="rId147"/>
        </w:object>
      </w:r>
      <w:r w:rsidRPr="00FE24C0">
        <w:t xml:space="preserve"> and </w:t>
      </w:r>
      <w:r w:rsidR="00680E4C" w:rsidRPr="00FE24C0">
        <w:rPr>
          <w:position w:val="-12"/>
        </w:rPr>
        <w:object w:dxaOrig="420" w:dyaOrig="320">
          <v:shape id="_x0000_i1059" type="#_x0000_t75" style="width:22.5pt;height:16.5pt" o:ole="">
            <v:imagedata r:id="rId148" o:title=""/>
          </v:shape>
          <o:OLEObject Type="Embed" ProgID="Equation.DSMT4" ShapeID="_x0000_i1059" DrawAspect="Content" ObjectID="_1419536198" r:id="rId149"/>
        </w:object>
      </w:r>
      <w:r w:rsidRPr="00FE24C0">
        <w:t xml:space="preserve"> are the mean and standard deviation, respectively, of the time series of the Index in Cluster “C” and month “m”.</w:t>
      </w:r>
    </w:p>
    <w:p w:rsidR="00680E4C" w:rsidRPr="00FE24C0" w:rsidRDefault="00444F9A" w:rsidP="00680E4C">
      <w:pPr>
        <w:ind w:left="851"/>
      </w:pPr>
      <w:r w:rsidRPr="00FE24C0">
        <w:t>In case “Método = Hist.” is chosen, this cells shows the value NC (Not Applicable, - in Spanish:</w:t>
      </w:r>
      <w:r w:rsidRPr="00FE24C0">
        <w:rPr>
          <w:i/>
        </w:rPr>
        <w:t xml:space="preserve"> No Corresponde</w:t>
      </w:r>
      <w:r w:rsidRPr="00FE24C0">
        <w:t>), because is not necessary for the calculations.</w:t>
      </w:r>
    </w:p>
    <w:p w:rsidR="00680E4C" w:rsidRPr="00FE24C0" w:rsidRDefault="00680E4C" w:rsidP="004E79BD">
      <w:pPr>
        <w:spacing w:after="0"/>
        <w:ind w:left="850"/>
      </w:pPr>
    </w:p>
    <w:p w:rsidR="00680E4C" w:rsidRPr="00FE24C0" w:rsidRDefault="00444F9A" w:rsidP="00593B59">
      <w:pPr>
        <w:pStyle w:val="Prrafodelista"/>
        <w:numPr>
          <w:ilvl w:val="0"/>
          <w:numId w:val="13"/>
        </w:numPr>
        <w:spacing w:before="60" w:after="0" w:line="240" w:lineRule="auto"/>
        <w:ind w:left="851" w:hanging="284"/>
        <w:outlineLvl w:val="9"/>
        <w:rPr>
          <w:rFonts w:ascii="Times New Roman" w:hAnsi="Times New Roman"/>
        </w:rPr>
      </w:pPr>
      <w:r w:rsidRPr="00FE24C0">
        <w:rPr>
          <w:rFonts w:ascii="Times New Roman" w:hAnsi="Times New Roman"/>
          <w:b/>
          <w:u w:val="single"/>
        </w:rPr>
        <w:t>Desvío para Exit Index</w:t>
      </w:r>
      <w:r w:rsidRPr="00FE24C0">
        <w:rPr>
          <w:rFonts w:ascii="Times New Roman" w:hAnsi="Times New Roman"/>
        </w:rPr>
        <w:t xml:space="preserve"> (Deviation for Exit, </w:t>
      </w:r>
      <w:r w:rsidR="00680E4C" w:rsidRPr="00FE24C0">
        <w:rPr>
          <w:rFonts w:ascii="Times New Roman" w:hAnsi="Times New Roman"/>
          <w:position w:val="-12"/>
        </w:rPr>
        <w:object w:dxaOrig="340" w:dyaOrig="360">
          <v:shape id="_x0000_i1060" type="#_x0000_t75" style="width:16.5pt;height:18.75pt" o:ole="">
            <v:imagedata r:id="rId150" o:title=""/>
          </v:shape>
          <o:OLEObject Type="Embed" ProgID="Equation.DSMT4" ShapeID="_x0000_i1060" DrawAspect="Content" ObjectID="_1419536199" r:id="rId151"/>
        </w:object>
      </w:r>
      <w:r w:rsidRPr="00FE24C0">
        <w:rPr>
          <w:rFonts w:ascii="Times New Roman" w:hAnsi="Times New Roman"/>
        </w:rPr>
        <w:t xml:space="preserve">): allows determining the quantity of standard deviations below the Trigger in which is set the Exit, from which is paid out the </w:t>
      </w:r>
      <w:r w:rsidR="007201D2">
        <w:rPr>
          <w:rFonts w:ascii="Times New Roman" w:hAnsi="Times New Roman"/>
        </w:rPr>
        <w:t xml:space="preserve">full </w:t>
      </w:r>
      <w:r w:rsidRPr="00FE24C0">
        <w:rPr>
          <w:rFonts w:ascii="Times New Roman" w:hAnsi="Times New Roman"/>
        </w:rPr>
        <w:t>Sum Insured allocated to the month. Specifically, for each month in each Cluster, the Exit Index is:</w:t>
      </w:r>
    </w:p>
    <w:p w:rsidR="00680E4C" w:rsidRPr="00FE24C0" w:rsidRDefault="00680E4C" w:rsidP="007201D2">
      <w:pPr>
        <w:ind w:left="207"/>
        <w:jc w:val="center"/>
      </w:pPr>
      <w:r w:rsidRPr="00FE24C0">
        <w:rPr>
          <w:position w:val="-12"/>
        </w:rPr>
        <w:object w:dxaOrig="1840" w:dyaOrig="320">
          <v:shape id="_x0000_i1061" type="#_x0000_t75" style="width:92.25pt;height:16.5pt" o:ole="">
            <v:imagedata r:id="rId152" o:title=""/>
          </v:shape>
          <o:OLEObject Type="Embed" ProgID="Equation.DSMT4" ShapeID="_x0000_i1061" DrawAspect="Content" ObjectID="_1419536200" r:id="rId153"/>
        </w:object>
      </w:r>
    </w:p>
    <w:p w:rsidR="00680E4C" w:rsidRPr="00FE24C0" w:rsidRDefault="00444F9A" w:rsidP="00593B59">
      <w:pPr>
        <w:pStyle w:val="Prrafodelista"/>
        <w:numPr>
          <w:ilvl w:val="0"/>
          <w:numId w:val="13"/>
        </w:numPr>
        <w:spacing w:after="0" w:line="240" w:lineRule="auto"/>
        <w:ind w:left="851" w:hanging="284"/>
        <w:outlineLvl w:val="9"/>
        <w:rPr>
          <w:rFonts w:ascii="Times New Roman" w:hAnsi="Times New Roman"/>
        </w:rPr>
      </w:pPr>
      <w:r w:rsidRPr="00FE24C0">
        <w:rPr>
          <w:rFonts w:ascii="Times New Roman" w:hAnsi="Times New Roman"/>
          <w:b/>
          <w:u w:val="single"/>
        </w:rPr>
        <w:t>Completar faltantes con</w:t>
      </w:r>
      <w:r w:rsidRPr="00FE24C0">
        <w:rPr>
          <w:rFonts w:ascii="Times New Roman" w:hAnsi="Times New Roman"/>
        </w:rPr>
        <w:t xml:space="preserve"> (Fill missing data with): allows choosing the methodology used to fill the gaps in the database. Possible values for this parameter are: </w:t>
      </w:r>
    </w:p>
    <w:p w:rsidR="00680E4C" w:rsidRPr="00FE24C0" w:rsidRDefault="00444F9A" w:rsidP="00593B59">
      <w:pPr>
        <w:pStyle w:val="Prrafodelista"/>
        <w:numPr>
          <w:ilvl w:val="1"/>
          <w:numId w:val="13"/>
        </w:numPr>
        <w:spacing w:after="0" w:line="240" w:lineRule="auto"/>
        <w:ind w:left="1134" w:hanging="283"/>
        <w:outlineLvl w:val="9"/>
        <w:rPr>
          <w:rFonts w:ascii="Times New Roman" w:hAnsi="Times New Roman"/>
        </w:rPr>
      </w:pPr>
      <w:r w:rsidRPr="00FE24C0">
        <w:rPr>
          <w:rFonts w:ascii="Times New Roman" w:hAnsi="Times New Roman"/>
        </w:rPr>
        <w:t xml:space="preserve"> “Min”: fill the NDVI missing data with the minimum historical percentage change for the month in which the datum is missed. </w:t>
      </w:r>
    </w:p>
    <w:p w:rsidR="00680E4C" w:rsidRPr="00FE24C0" w:rsidRDefault="00444F9A" w:rsidP="00593B59">
      <w:pPr>
        <w:pStyle w:val="Prrafodelista"/>
        <w:numPr>
          <w:ilvl w:val="1"/>
          <w:numId w:val="13"/>
        </w:numPr>
        <w:spacing w:after="0" w:line="240" w:lineRule="auto"/>
        <w:ind w:left="1134" w:hanging="283"/>
        <w:outlineLvl w:val="9"/>
        <w:rPr>
          <w:rFonts w:ascii="Times New Roman" w:hAnsi="Times New Roman"/>
        </w:rPr>
      </w:pPr>
      <w:r w:rsidRPr="00FE24C0">
        <w:rPr>
          <w:rFonts w:ascii="Times New Roman" w:hAnsi="Times New Roman"/>
        </w:rPr>
        <w:t xml:space="preserve">“Ave”: fill the NDVI missing data with the average historical percentage change for the month in which the datum is missed. </w:t>
      </w:r>
    </w:p>
    <w:p w:rsidR="00680E4C" w:rsidRPr="00FE24C0" w:rsidRDefault="00444F9A" w:rsidP="006E1CFE">
      <w:pPr>
        <w:spacing w:after="0"/>
        <w:ind w:left="851"/>
      </w:pPr>
      <w:r w:rsidRPr="00FE24C0">
        <w:t xml:space="preserve">For further details see Section 3.1 </w:t>
      </w:r>
      <w:r w:rsidR="007201D2">
        <w:t xml:space="preserve">of this Annex </w:t>
      </w:r>
      <w:r w:rsidRPr="00FE24C0">
        <w:t>and the example in Section 5.1</w:t>
      </w:r>
      <w:r w:rsidR="007201D2">
        <w:t xml:space="preserve"> of this Annex</w:t>
      </w:r>
      <w:r w:rsidRPr="00FE24C0">
        <w:t>.</w:t>
      </w:r>
    </w:p>
    <w:p w:rsidR="00680E4C" w:rsidRPr="00FE24C0" w:rsidRDefault="00680E4C" w:rsidP="00680E4C">
      <w:pPr>
        <w:pStyle w:val="Prrafodelista"/>
        <w:ind w:left="1134"/>
        <w:rPr>
          <w:rFonts w:ascii="Times New Roman" w:hAnsi="Times New Roman"/>
        </w:rPr>
      </w:pPr>
    </w:p>
    <w:p w:rsidR="00680E4C" w:rsidRPr="00FE24C0" w:rsidRDefault="00444F9A" w:rsidP="00593B59">
      <w:pPr>
        <w:pStyle w:val="Prrafodelista"/>
        <w:numPr>
          <w:ilvl w:val="0"/>
          <w:numId w:val="13"/>
        </w:numPr>
        <w:spacing w:after="0" w:line="240" w:lineRule="auto"/>
        <w:ind w:left="851" w:hanging="284"/>
        <w:outlineLvl w:val="9"/>
        <w:rPr>
          <w:rFonts w:ascii="Times New Roman" w:hAnsi="Times New Roman"/>
        </w:rPr>
      </w:pPr>
      <w:r w:rsidRPr="00FE24C0">
        <w:rPr>
          <w:rFonts w:ascii="Times New Roman" w:hAnsi="Times New Roman"/>
          <w:b/>
          <w:u w:val="single"/>
        </w:rPr>
        <w:t>Franquicia</w:t>
      </w:r>
      <w:r w:rsidRPr="00FE24C0">
        <w:rPr>
          <w:rFonts w:ascii="Times New Roman" w:hAnsi="Times New Roman"/>
        </w:rPr>
        <w:t xml:space="preserve"> (Franchise): is the minimum loss, as percentage of the Annual Total Sum Insured (TSI), from which the insurance is actually triggered and a payout is actually made (see Section 3.4</w:t>
      </w:r>
      <w:r w:rsidR="007201D2">
        <w:rPr>
          <w:rFonts w:ascii="Times New Roman" w:hAnsi="Times New Roman"/>
        </w:rPr>
        <w:t xml:space="preserve"> of this Annex</w:t>
      </w:r>
      <w:r w:rsidRPr="00FE24C0">
        <w:rPr>
          <w:rFonts w:ascii="Times New Roman" w:hAnsi="Times New Roman"/>
        </w:rPr>
        <w:t>).</w:t>
      </w:r>
    </w:p>
    <w:p w:rsidR="00680E4C" w:rsidRPr="00FE24C0" w:rsidRDefault="00680E4C" w:rsidP="006E1CFE">
      <w:pPr>
        <w:pStyle w:val="Prrafodelista"/>
        <w:spacing w:after="0"/>
        <w:ind w:left="851"/>
        <w:rPr>
          <w:rFonts w:ascii="Times New Roman" w:hAnsi="Times New Roman"/>
        </w:rPr>
      </w:pPr>
    </w:p>
    <w:p w:rsidR="00680E4C" w:rsidRPr="00FE24C0" w:rsidRDefault="00444F9A" w:rsidP="00593B59">
      <w:pPr>
        <w:pStyle w:val="Prrafodelista"/>
        <w:numPr>
          <w:ilvl w:val="0"/>
          <w:numId w:val="13"/>
        </w:numPr>
        <w:spacing w:after="0" w:line="240" w:lineRule="auto"/>
        <w:ind w:left="851" w:hanging="284"/>
        <w:outlineLvl w:val="9"/>
        <w:rPr>
          <w:rFonts w:ascii="Times New Roman" w:hAnsi="Times New Roman"/>
        </w:rPr>
      </w:pPr>
      <w:r w:rsidRPr="00FE24C0">
        <w:rPr>
          <w:rFonts w:ascii="Times New Roman" w:hAnsi="Times New Roman"/>
          <w:b/>
          <w:u w:val="single"/>
        </w:rPr>
        <w:t>Completar año ’94 con</w:t>
      </w:r>
      <w:r w:rsidRPr="00FE24C0">
        <w:rPr>
          <w:rFonts w:ascii="Times New Roman" w:hAnsi="Times New Roman"/>
        </w:rPr>
        <w:t xml:space="preserve"> (Fill 1994 with): due to the high number of missing data in 1994, it is allowed to fill the gaps in this year with any of the interpolation method </w:t>
      </w:r>
      <w:r w:rsidR="00CE2699">
        <w:rPr>
          <w:rFonts w:ascii="Times New Roman" w:hAnsi="Times New Roman"/>
        </w:rPr>
        <w:t xml:space="preserve">above </w:t>
      </w:r>
      <w:r w:rsidRPr="00FE24C0">
        <w:rPr>
          <w:rFonts w:ascii="Times New Roman" w:hAnsi="Times New Roman"/>
        </w:rPr>
        <w:t>mentioned (average or minimum, see “Completar faltantes con” above), or to replace all data in 1994 with the data of any other year in database.</w:t>
      </w:r>
    </w:p>
    <w:p w:rsidR="00680E4C" w:rsidRPr="00FE24C0" w:rsidRDefault="00680E4C" w:rsidP="006E1CFE">
      <w:pPr>
        <w:pStyle w:val="Prrafodelista"/>
        <w:spacing w:after="0"/>
        <w:rPr>
          <w:rFonts w:ascii="Times New Roman" w:hAnsi="Times New Roman"/>
        </w:rPr>
      </w:pPr>
    </w:p>
    <w:p w:rsidR="00680E4C" w:rsidRPr="00FE24C0" w:rsidRDefault="00444F9A" w:rsidP="00593B59">
      <w:pPr>
        <w:pStyle w:val="Prrafodelista"/>
        <w:numPr>
          <w:ilvl w:val="0"/>
          <w:numId w:val="13"/>
        </w:numPr>
        <w:spacing w:after="0" w:line="240" w:lineRule="auto"/>
        <w:ind w:left="851" w:hanging="284"/>
        <w:outlineLvl w:val="9"/>
        <w:rPr>
          <w:rFonts w:ascii="Times New Roman" w:hAnsi="Times New Roman"/>
        </w:rPr>
      </w:pPr>
      <w:r w:rsidRPr="00FE24C0">
        <w:rPr>
          <w:rFonts w:ascii="Times New Roman" w:hAnsi="Times New Roman"/>
          <w:b/>
          <w:u w:val="single"/>
        </w:rPr>
        <w:t>Factor ajuste año ’94</w:t>
      </w:r>
      <w:r w:rsidRPr="00FE24C0">
        <w:rPr>
          <w:rFonts w:ascii="Times New Roman" w:hAnsi="Times New Roman"/>
        </w:rPr>
        <w:t xml:space="preserve"> (Adjustment factor for 1994): due to the high number of missing data, it is allowed “to punish” the NDVI values in 1994. If this parameter equals 1 (one) the original data is left (either interpolated or replaced with other year data, according to the choice of the previous parameter). A value less than 1 diminishes the NDVI values proportionally, and a value higher than 1 increases the NDVI values proportionally. Specifically, the data in 1994 actually used in the rating tool are</w:t>
      </w:r>
      <w:r w:rsidR="00CE2699">
        <w:rPr>
          <w:rFonts w:ascii="Times New Roman" w:hAnsi="Times New Roman"/>
        </w:rPr>
        <w:t xml:space="preserve"> (See Section 3.1 of this Annex for futher details)</w:t>
      </w:r>
      <w:r w:rsidRPr="00FE24C0">
        <w:rPr>
          <w:rFonts w:ascii="Times New Roman" w:hAnsi="Times New Roman"/>
        </w:rPr>
        <w:t xml:space="preserve">: </w:t>
      </w:r>
    </w:p>
    <w:p w:rsidR="00680E4C" w:rsidRPr="00FE24C0" w:rsidRDefault="00680E4C" w:rsidP="00680E4C">
      <w:pPr>
        <w:ind w:left="207"/>
        <w:jc w:val="center"/>
        <w:rPr>
          <w:position w:val="-14"/>
        </w:rPr>
      </w:pPr>
      <w:r w:rsidRPr="00FE24C0">
        <w:rPr>
          <w:position w:val="-12"/>
        </w:rPr>
        <w:object w:dxaOrig="3580" w:dyaOrig="340">
          <v:shape id="_x0000_i1062" type="#_x0000_t75" style="width:179.25pt;height:16.5pt" o:ole="">
            <v:imagedata r:id="rId154" o:title=""/>
          </v:shape>
          <o:OLEObject Type="Embed" ProgID="Equation.DSMT4" ShapeID="_x0000_i1062" DrawAspect="Content" ObjectID="_1419536201" r:id="rId155"/>
        </w:object>
      </w:r>
    </w:p>
    <w:p w:rsidR="00680E4C" w:rsidRPr="00FE24C0" w:rsidRDefault="00680E4C" w:rsidP="00680E4C">
      <w:pPr>
        <w:ind w:left="207"/>
        <w:jc w:val="center"/>
        <w:rPr>
          <w:position w:val="-14"/>
        </w:rPr>
      </w:pPr>
    </w:p>
    <w:p w:rsidR="00680E4C" w:rsidRPr="00FE24C0" w:rsidRDefault="00444F9A" w:rsidP="00593B59">
      <w:pPr>
        <w:pStyle w:val="Prrafodelista"/>
        <w:numPr>
          <w:ilvl w:val="0"/>
          <w:numId w:val="13"/>
        </w:numPr>
        <w:spacing w:before="60" w:after="0" w:line="240" w:lineRule="auto"/>
        <w:ind w:left="851" w:hanging="284"/>
        <w:outlineLvl w:val="9"/>
        <w:rPr>
          <w:rFonts w:ascii="Times New Roman" w:hAnsi="Times New Roman"/>
        </w:rPr>
      </w:pPr>
      <w:r w:rsidRPr="00FE24C0">
        <w:rPr>
          <w:rFonts w:ascii="Times New Roman" w:hAnsi="Times New Roman"/>
          <w:b/>
          <w:u w:val="single"/>
        </w:rPr>
        <w:t>Recargo de Seguridad</w:t>
      </w:r>
      <w:r w:rsidRPr="00FE24C0">
        <w:rPr>
          <w:rFonts w:ascii="Times New Roman" w:hAnsi="Times New Roman"/>
          <w:b/>
        </w:rPr>
        <w:t xml:space="preserve"> </w:t>
      </w:r>
      <w:r w:rsidRPr="00FE24C0">
        <w:rPr>
          <w:rFonts w:ascii="Times New Roman" w:hAnsi="Times New Roman"/>
        </w:rPr>
        <w:t>(Risk Loading</w:t>
      </w:r>
      <w:proofErr w:type="gramStart"/>
      <w:r w:rsidRPr="00FE24C0">
        <w:rPr>
          <w:rFonts w:ascii="Times New Roman" w:hAnsi="Times New Roman"/>
        </w:rPr>
        <w:t xml:space="preserve">, </w:t>
      </w:r>
      <w:proofErr w:type="gramEnd"/>
      <w:r w:rsidR="00680E4C" w:rsidRPr="00FE24C0">
        <w:rPr>
          <w:rFonts w:ascii="Times New Roman" w:hAnsi="Times New Roman"/>
          <w:position w:val="-12"/>
        </w:rPr>
        <w:object w:dxaOrig="360" w:dyaOrig="360">
          <v:shape id="_x0000_i1063" type="#_x0000_t75" style="width:18.75pt;height:18.75pt" o:ole="">
            <v:imagedata r:id="rId156" o:title=""/>
          </v:shape>
          <o:OLEObject Type="Embed" ProgID="Equation.DSMT4" ShapeID="_x0000_i1063" DrawAspect="Content" ObjectID="_1419536202" r:id="rId157"/>
        </w:object>
      </w:r>
      <w:r w:rsidRPr="00FE24C0">
        <w:rPr>
          <w:rFonts w:ascii="Times New Roman" w:hAnsi="Times New Roman"/>
        </w:rPr>
        <w:t>): is the percentage of standard deviation of Historical Payouts that is load to the Risk Premium in order to get the Technical Premium (see Section 3.6).</w:t>
      </w:r>
    </w:p>
    <w:p w:rsidR="00680E4C" w:rsidRPr="00FE24C0" w:rsidRDefault="00680E4C" w:rsidP="00680E4C">
      <w:pPr>
        <w:pStyle w:val="Prrafodelista"/>
        <w:ind w:left="851"/>
        <w:rPr>
          <w:rFonts w:ascii="Times New Roman" w:hAnsi="Times New Roman"/>
        </w:rPr>
      </w:pPr>
    </w:p>
    <w:p w:rsidR="00680E4C" w:rsidRPr="00FE24C0" w:rsidRDefault="00CE2699" w:rsidP="00680E4C">
      <w:pPr>
        <w:pStyle w:val="Ttulo2"/>
        <w:keepLines w:val="0"/>
        <w:numPr>
          <w:ilvl w:val="1"/>
          <w:numId w:val="0"/>
        </w:numPr>
        <w:tabs>
          <w:tab w:val="num" w:pos="576"/>
        </w:tabs>
        <w:spacing w:before="240" w:after="60"/>
        <w:ind w:left="576" w:hanging="576"/>
      </w:pPr>
      <w:bookmarkStart w:id="68" w:name="_Toc337309991"/>
      <w:r>
        <w:t xml:space="preserve">4.3. </w:t>
      </w:r>
      <w:r w:rsidR="00680E4C" w:rsidRPr="00FE24C0">
        <w:t>Changing parameters for calculation of Sum Insured</w:t>
      </w:r>
      <w:bookmarkEnd w:id="68"/>
    </w:p>
    <w:p w:rsidR="006E1CFE" w:rsidRPr="00FE24C0" w:rsidRDefault="006E1CFE" w:rsidP="006E1CFE">
      <w:pPr>
        <w:spacing w:after="0"/>
      </w:pPr>
    </w:p>
    <w:p w:rsidR="00680E4C" w:rsidRPr="00FE24C0" w:rsidRDefault="00444F9A" w:rsidP="006E1CFE">
      <w:pPr>
        <w:spacing w:after="0"/>
      </w:pPr>
      <w:r w:rsidRPr="00FE24C0">
        <w:t>In Section 3.8 was exposed the proposed Total Sum Insured. However, this can be modified by changing the heads of cattle insured in each Cuartel, the percentage of the feeding requirements covered by the insurance, and cost of feeding per Cow Equivalent.</w:t>
      </w:r>
    </w:p>
    <w:p w:rsidR="006E1CFE" w:rsidRPr="00FE24C0" w:rsidRDefault="006E1CFE" w:rsidP="006E1CFE">
      <w:pPr>
        <w:spacing w:after="0"/>
        <w:rPr>
          <w:b/>
          <w:u w:val="single"/>
        </w:rPr>
      </w:pPr>
    </w:p>
    <w:p w:rsidR="00680E4C" w:rsidRPr="00FE24C0" w:rsidRDefault="00444F9A" w:rsidP="006E1CFE">
      <w:pPr>
        <w:spacing w:after="0"/>
        <w:rPr>
          <w:b/>
          <w:u w:val="single"/>
        </w:rPr>
      </w:pPr>
      <w:r w:rsidRPr="00FE24C0">
        <w:rPr>
          <w:b/>
          <w:u w:val="single"/>
        </w:rPr>
        <w:t>Heads of Cattle</w:t>
      </w:r>
    </w:p>
    <w:p w:rsidR="006E1CFE" w:rsidRPr="00FE24C0" w:rsidRDefault="006E1CFE" w:rsidP="006E1CFE">
      <w:pPr>
        <w:spacing w:after="0"/>
      </w:pPr>
    </w:p>
    <w:p w:rsidR="00680E4C" w:rsidRPr="00FE24C0" w:rsidRDefault="00444F9A" w:rsidP="006E1CFE">
      <w:pPr>
        <w:spacing w:after="0"/>
      </w:pPr>
      <w:r w:rsidRPr="00FE24C0">
        <w:t xml:space="preserve">To modify the heads of cattle insured, the user should change the number of cows and heifers in the spreadsheet </w:t>
      </w:r>
      <w:r w:rsidRPr="00FE24C0">
        <w:rPr>
          <w:b/>
          <w:i/>
        </w:rPr>
        <w:t>Pago_xCuartel</w:t>
      </w:r>
      <w:r w:rsidRPr="00FE24C0">
        <w:t xml:space="preserve"> </w:t>
      </w:r>
      <w:r w:rsidRPr="00FE24C0">
        <w:rPr>
          <w:u w:val="single"/>
        </w:rPr>
        <w:t>in each one of the 12 files</w:t>
      </w:r>
      <w:r w:rsidRPr="00FE24C0">
        <w:t xml:space="preserve"> of the </w:t>
      </w:r>
      <w:r w:rsidR="00865CC5">
        <w:t>Departments</w:t>
      </w:r>
      <w:r w:rsidRPr="00FE24C0">
        <w:t xml:space="preserve"> in SWBA (see Table </w:t>
      </w:r>
      <w:r w:rsidR="002558DC" w:rsidRPr="00FE24C0">
        <w:t>A</w:t>
      </w:r>
      <w:r w:rsidR="00CE2699">
        <w:t>2.</w:t>
      </w:r>
      <w:r w:rsidRPr="00FE24C0">
        <w:t>1, in Section 1</w:t>
      </w:r>
      <w:r w:rsidR="00CE2699">
        <w:t xml:space="preserve"> of this Annex</w:t>
      </w:r>
      <w:r w:rsidRPr="00FE24C0">
        <w:t xml:space="preserve">). In Table </w:t>
      </w:r>
      <w:r w:rsidR="002558DC" w:rsidRPr="00FE24C0">
        <w:t>A</w:t>
      </w:r>
      <w:r w:rsidR="00CE2699">
        <w:t>2.</w:t>
      </w:r>
      <w:r w:rsidRPr="00FE24C0">
        <w:t xml:space="preserve">4 below is shown the data for Bahia Blanca </w:t>
      </w:r>
      <w:r w:rsidR="00CE2699">
        <w:t>Department</w:t>
      </w:r>
      <w:r w:rsidRPr="00FE24C0">
        <w:t xml:space="preserve">, which can be found in file </w:t>
      </w:r>
      <w:r w:rsidRPr="00FE24C0">
        <w:rPr>
          <w:b/>
          <w:i/>
        </w:rPr>
        <w:t>Dpto056.xlsm</w:t>
      </w:r>
      <w:r w:rsidRPr="00FE24C0">
        <w:t xml:space="preserve">. </w:t>
      </w:r>
    </w:p>
    <w:p w:rsidR="00680E4C" w:rsidRPr="00FE24C0" w:rsidRDefault="00680E4C" w:rsidP="00680E4C"/>
    <w:tbl>
      <w:tblPr>
        <w:tblStyle w:val="Tablaconcuadrcula"/>
        <w:tblW w:w="0" w:type="auto"/>
        <w:jc w:val="center"/>
        <w:tblLook w:val="04A0"/>
      </w:tblPr>
      <w:tblGrid>
        <w:gridCol w:w="5515"/>
      </w:tblGrid>
      <w:tr w:rsidR="00680E4C" w:rsidRPr="00FE24C0" w:rsidTr="00680E4C">
        <w:trPr>
          <w:jc w:val="center"/>
        </w:trPr>
        <w:tc>
          <w:tcPr>
            <w:tcW w:w="5515" w:type="dxa"/>
            <w:vAlign w:val="center"/>
          </w:tcPr>
          <w:p w:rsidR="00680E4C" w:rsidRPr="00FE24C0" w:rsidRDefault="00193F63" w:rsidP="00680E4C">
            <w:pPr>
              <w:jc w:val="center"/>
            </w:pPr>
            <w:r w:rsidRPr="00FE24C0">
              <w:rPr>
                <w:noProof/>
                <w:lang w:val="es-AR" w:eastAsia="es-AR"/>
              </w:rPr>
              <w:drawing>
                <wp:inline distT="0" distB="0" distL="0" distR="0">
                  <wp:extent cx="2147570" cy="1967230"/>
                  <wp:effectExtent l="19050" t="0" r="5080" b="0"/>
                  <wp:docPr id="8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srcRect/>
                          <a:stretch>
                            <a:fillRect/>
                          </a:stretch>
                        </pic:blipFill>
                        <pic:spPr bwMode="auto">
                          <a:xfrm>
                            <a:off x="0" y="0"/>
                            <a:ext cx="2147570" cy="1967230"/>
                          </a:xfrm>
                          <a:prstGeom prst="rect">
                            <a:avLst/>
                          </a:prstGeom>
                          <a:noFill/>
                          <a:ln w="9525">
                            <a:noFill/>
                            <a:miter lim="800000"/>
                            <a:headEnd/>
                            <a:tailEnd/>
                          </a:ln>
                        </pic:spPr>
                      </pic:pic>
                    </a:graphicData>
                  </a:graphic>
                </wp:inline>
              </w:drawing>
            </w:r>
          </w:p>
        </w:tc>
      </w:tr>
      <w:tr w:rsidR="00680E4C" w:rsidRPr="00FE24C0" w:rsidTr="00680E4C">
        <w:trPr>
          <w:jc w:val="center"/>
        </w:trPr>
        <w:tc>
          <w:tcPr>
            <w:tcW w:w="5515" w:type="dxa"/>
            <w:vAlign w:val="center"/>
          </w:tcPr>
          <w:p w:rsidR="00680E4C" w:rsidRPr="00FE24C0" w:rsidRDefault="00444F9A" w:rsidP="00CE2699">
            <w:pPr>
              <w:jc w:val="center"/>
              <w:rPr>
                <w:b/>
                <w:sz w:val="16"/>
                <w:szCs w:val="16"/>
              </w:rPr>
            </w:pPr>
            <w:r w:rsidRPr="00FE24C0">
              <w:rPr>
                <w:b/>
                <w:sz w:val="16"/>
                <w:szCs w:val="16"/>
              </w:rPr>
              <w:t xml:space="preserve">Table </w:t>
            </w:r>
            <w:r w:rsidR="002558DC" w:rsidRPr="00FE24C0">
              <w:rPr>
                <w:b/>
                <w:sz w:val="16"/>
                <w:szCs w:val="16"/>
              </w:rPr>
              <w:t>A</w:t>
            </w:r>
            <w:r w:rsidR="00CE2699">
              <w:rPr>
                <w:b/>
                <w:sz w:val="16"/>
                <w:szCs w:val="16"/>
              </w:rPr>
              <w:t>2.</w:t>
            </w:r>
            <w:r w:rsidRPr="00FE24C0">
              <w:rPr>
                <w:b/>
                <w:sz w:val="16"/>
                <w:szCs w:val="16"/>
              </w:rPr>
              <w:t xml:space="preserve">4. Heads of cows and heifers in Bahia Blanca </w:t>
            </w:r>
            <w:r w:rsidR="00CE2699">
              <w:rPr>
                <w:b/>
                <w:sz w:val="16"/>
                <w:szCs w:val="16"/>
              </w:rPr>
              <w:t>Department</w:t>
            </w:r>
            <w:r w:rsidRPr="00FE24C0">
              <w:rPr>
                <w:b/>
                <w:sz w:val="16"/>
                <w:szCs w:val="16"/>
              </w:rPr>
              <w:t>.</w:t>
            </w:r>
          </w:p>
        </w:tc>
      </w:tr>
    </w:tbl>
    <w:p w:rsidR="00680E4C" w:rsidRPr="00FE24C0" w:rsidRDefault="00680E4C" w:rsidP="00680E4C"/>
    <w:p w:rsidR="00680E4C" w:rsidRPr="00FE24C0" w:rsidRDefault="00444F9A" w:rsidP="00680E4C">
      <w:pPr>
        <w:rPr>
          <w:b/>
          <w:u w:val="single"/>
        </w:rPr>
      </w:pPr>
      <w:r w:rsidRPr="00FE24C0">
        <w:rPr>
          <w:b/>
          <w:u w:val="single"/>
        </w:rPr>
        <w:t>Percentage covered and cost of feeding per Cow Equivalent</w:t>
      </w:r>
    </w:p>
    <w:p w:rsidR="00680E4C" w:rsidRPr="00FE24C0" w:rsidRDefault="00444F9A" w:rsidP="006E1CFE">
      <w:pPr>
        <w:spacing w:after="0"/>
      </w:pPr>
      <w:r w:rsidRPr="00FE24C0">
        <w:t xml:space="preserve">Parameters related to percentage covered and cost of feeding are in main file </w:t>
      </w:r>
      <w:r w:rsidRPr="00CE2699">
        <w:rPr>
          <w:b/>
          <w:i/>
        </w:rPr>
        <w:t>IBI_Parameter.xlsm</w:t>
      </w:r>
      <w:r w:rsidRPr="00FE24C0">
        <w:t xml:space="preserve">, in the spreadsheet </w:t>
      </w:r>
      <w:r w:rsidR="00CE2699">
        <w:t>“</w:t>
      </w:r>
      <w:r w:rsidRPr="00CE2699">
        <w:rPr>
          <w:b/>
          <w:i/>
        </w:rPr>
        <w:t>CalculoSumaAsegurada</w:t>
      </w:r>
      <w:r w:rsidR="00CE2699">
        <w:t>”</w:t>
      </w:r>
      <w:r w:rsidRPr="00FE24C0">
        <w:t xml:space="preserve">. Table </w:t>
      </w:r>
      <w:r w:rsidR="002558DC" w:rsidRPr="00FE24C0">
        <w:t>A</w:t>
      </w:r>
      <w:r w:rsidR="00CE2699">
        <w:t>2.</w:t>
      </w:r>
      <w:r w:rsidRPr="00FE24C0">
        <w:t>5 shows the sheet in which the user can modify the price of corn per ton, and/or the quantity of Cow Equivalents (E.V.) fed with one ton of corn, and/or the percentage of feeding covered in each month included in the coverage, and/or the number of E.V. that represents each animal category in each month of the year.</w:t>
      </w:r>
    </w:p>
    <w:tbl>
      <w:tblPr>
        <w:tblStyle w:val="Tablaconcuadrcula"/>
        <w:tblW w:w="0" w:type="auto"/>
        <w:jc w:val="center"/>
        <w:tblLook w:val="04A0"/>
      </w:tblPr>
      <w:tblGrid>
        <w:gridCol w:w="8856"/>
      </w:tblGrid>
      <w:tr w:rsidR="00680E4C" w:rsidRPr="00FE24C0" w:rsidTr="00680E4C">
        <w:trPr>
          <w:jc w:val="center"/>
        </w:trPr>
        <w:tc>
          <w:tcPr>
            <w:tcW w:w="9854" w:type="dxa"/>
            <w:vAlign w:val="center"/>
          </w:tcPr>
          <w:p w:rsidR="00680E4C" w:rsidRPr="00FE24C0" w:rsidRDefault="00193F63" w:rsidP="00680E4C">
            <w:pPr>
              <w:jc w:val="center"/>
            </w:pPr>
            <w:r w:rsidRPr="00FE24C0">
              <w:rPr>
                <w:noProof/>
                <w:lang w:val="es-AR" w:eastAsia="es-AR"/>
              </w:rPr>
              <w:lastRenderedPageBreak/>
              <w:drawing>
                <wp:inline distT="0" distB="0" distL="0" distR="0">
                  <wp:extent cx="6113780" cy="1892300"/>
                  <wp:effectExtent l="19050" t="0" r="1270" b="0"/>
                  <wp:docPr id="8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9" cstate="print"/>
                          <a:srcRect/>
                          <a:stretch>
                            <a:fillRect/>
                          </a:stretch>
                        </pic:blipFill>
                        <pic:spPr bwMode="auto">
                          <a:xfrm>
                            <a:off x="0" y="0"/>
                            <a:ext cx="6113780" cy="1892300"/>
                          </a:xfrm>
                          <a:prstGeom prst="rect">
                            <a:avLst/>
                          </a:prstGeom>
                          <a:noFill/>
                          <a:ln w="9525">
                            <a:noFill/>
                            <a:miter lim="800000"/>
                            <a:headEnd/>
                            <a:tailEnd/>
                          </a:ln>
                        </pic:spPr>
                      </pic:pic>
                    </a:graphicData>
                  </a:graphic>
                </wp:inline>
              </w:drawing>
            </w:r>
          </w:p>
        </w:tc>
      </w:tr>
      <w:tr w:rsidR="00680E4C" w:rsidRPr="00FE24C0" w:rsidTr="00680E4C">
        <w:trPr>
          <w:jc w:val="center"/>
        </w:trPr>
        <w:tc>
          <w:tcPr>
            <w:tcW w:w="9854" w:type="dxa"/>
            <w:vAlign w:val="center"/>
          </w:tcPr>
          <w:p w:rsidR="00680E4C" w:rsidRPr="00FE24C0" w:rsidRDefault="00444F9A" w:rsidP="00680E4C">
            <w:pPr>
              <w:jc w:val="left"/>
              <w:rPr>
                <w:b/>
                <w:sz w:val="16"/>
                <w:szCs w:val="16"/>
              </w:rPr>
            </w:pPr>
            <w:r w:rsidRPr="00FE24C0">
              <w:rPr>
                <w:b/>
                <w:sz w:val="16"/>
                <w:szCs w:val="16"/>
              </w:rPr>
              <w:t>Table</w:t>
            </w:r>
            <w:r w:rsidR="002558DC" w:rsidRPr="00FE24C0">
              <w:rPr>
                <w:b/>
                <w:sz w:val="16"/>
                <w:szCs w:val="16"/>
              </w:rPr>
              <w:t xml:space="preserve"> A</w:t>
            </w:r>
            <w:r w:rsidR="00CE2699">
              <w:rPr>
                <w:b/>
                <w:sz w:val="16"/>
                <w:szCs w:val="16"/>
              </w:rPr>
              <w:t>2.</w:t>
            </w:r>
            <w:r w:rsidRPr="00FE24C0">
              <w:rPr>
                <w:b/>
                <w:sz w:val="16"/>
                <w:szCs w:val="16"/>
              </w:rPr>
              <w:t>5. Percentage of coverage and cost of feeding.</w:t>
            </w:r>
          </w:p>
        </w:tc>
      </w:tr>
    </w:tbl>
    <w:p w:rsidR="00680E4C" w:rsidRPr="00FE24C0" w:rsidRDefault="00680E4C" w:rsidP="006E1CFE">
      <w:pPr>
        <w:spacing w:after="0"/>
      </w:pPr>
    </w:p>
    <w:p w:rsidR="00680E4C" w:rsidRPr="00FE24C0" w:rsidRDefault="00444F9A" w:rsidP="006E1CFE">
      <w:pPr>
        <w:spacing w:after="0"/>
      </w:pPr>
      <w:r w:rsidRPr="00FE24C0">
        <w:t xml:space="preserve">It is worth to highlight that the months not covered are not included in the 12 files of the 12 </w:t>
      </w:r>
      <w:r w:rsidR="00865CC5">
        <w:t>Departments</w:t>
      </w:r>
      <w:r w:rsidRPr="00FE24C0">
        <w:t xml:space="preserve">, so that the addition of any percentage of coverage in December, for instance, </w:t>
      </w:r>
      <w:r w:rsidRPr="00FE24C0">
        <w:rPr>
          <w:u w:val="single"/>
        </w:rPr>
        <w:t>does not have any effect in the calculations performed by the rating model</w:t>
      </w:r>
      <w:r w:rsidRPr="00FE24C0">
        <w:t xml:space="preserve">. In this sheet was left the complete year just for showing the Nutritional Requirements along the full cycle. </w:t>
      </w:r>
    </w:p>
    <w:p w:rsidR="00680E4C" w:rsidRPr="00FE24C0" w:rsidRDefault="00680E4C" w:rsidP="00680E4C"/>
    <w:p w:rsidR="00680E4C" w:rsidRDefault="00CE2699" w:rsidP="00680E4C">
      <w:pPr>
        <w:pStyle w:val="Ttulo2"/>
        <w:keepLines w:val="0"/>
        <w:numPr>
          <w:ilvl w:val="1"/>
          <w:numId w:val="0"/>
        </w:numPr>
        <w:tabs>
          <w:tab w:val="num" w:pos="576"/>
        </w:tabs>
        <w:spacing w:before="240" w:after="60"/>
        <w:ind w:left="576" w:hanging="576"/>
      </w:pPr>
      <w:bookmarkStart w:id="69" w:name="_Toc337309992"/>
      <w:r>
        <w:t xml:space="preserve">4.4. </w:t>
      </w:r>
      <w:r w:rsidR="00680E4C" w:rsidRPr="00FE24C0">
        <w:t>Closing the Rating Tool and Saving Data</w:t>
      </w:r>
      <w:bookmarkEnd w:id="69"/>
    </w:p>
    <w:p w:rsidR="00CE2699" w:rsidRPr="00CE2699" w:rsidRDefault="00CE2699" w:rsidP="00CE2699">
      <w:pPr>
        <w:spacing w:after="0"/>
      </w:pPr>
    </w:p>
    <w:p w:rsidR="00680E4C" w:rsidRPr="00FE24C0" w:rsidRDefault="00444F9A" w:rsidP="00680E4C">
      <w:r w:rsidRPr="00FE24C0">
        <w:t xml:space="preserve">By closing the main file, </w:t>
      </w:r>
      <w:r w:rsidRPr="00FE24C0">
        <w:rPr>
          <w:b/>
          <w:i/>
        </w:rPr>
        <w:t>IBI_Parameter.xlsm</w:t>
      </w:r>
      <w:r w:rsidRPr="00FE24C0">
        <w:t xml:space="preserve">, the software will ask the user about the closing of all the files of the 12 </w:t>
      </w:r>
      <w:r w:rsidR="00865CC5">
        <w:t>Departments</w:t>
      </w:r>
      <w:r w:rsidRPr="00FE24C0">
        <w:t xml:space="preserve"> (see Figure </w:t>
      </w:r>
      <w:r w:rsidR="00A82F5F">
        <w:t>A2.</w:t>
      </w:r>
      <w:r w:rsidRPr="00FE24C0">
        <w:t>7 below).</w:t>
      </w:r>
    </w:p>
    <w:tbl>
      <w:tblPr>
        <w:tblStyle w:val="Tablaconcuadrcula"/>
        <w:tblW w:w="0" w:type="auto"/>
        <w:jc w:val="center"/>
        <w:tblLook w:val="04A0"/>
      </w:tblPr>
      <w:tblGrid>
        <w:gridCol w:w="6912"/>
      </w:tblGrid>
      <w:tr w:rsidR="00680E4C" w:rsidRPr="00FE24C0" w:rsidTr="00680E4C">
        <w:trPr>
          <w:jc w:val="center"/>
        </w:trPr>
        <w:tc>
          <w:tcPr>
            <w:tcW w:w="6912" w:type="dxa"/>
          </w:tcPr>
          <w:p w:rsidR="00680E4C" w:rsidRPr="00FE24C0" w:rsidRDefault="00193F63" w:rsidP="00680E4C">
            <w:pPr>
              <w:jc w:val="center"/>
            </w:pPr>
            <w:r w:rsidRPr="00FE24C0">
              <w:rPr>
                <w:noProof/>
                <w:lang w:val="es-AR" w:eastAsia="es-AR"/>
              </w:rPr>
              <w:drawing>
                <wp:inline distT="0" distB="0" distL="0" distR="0">
                  <wp:extent cx="3136955" cy="1280160"/>
                  <wp:effectExtent l="19050" t="0" r="6295" b="0"/>
                  <wp:docPr id="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l="32276" t="38193" r="31512" b="35491"/>
                          <a:stretch>
                            <a:fillRect/>
                          </a:stretch>
                        </pic:blipFill>
                        <pic:spPr bwMode="auto">
                          <a:xfrm>
                            <a:off x="0" y="0"/>
                            <a:ext cx="3136955" cy="1280160"/>
                          </a:xfrm>
                          <a:prstGeom prst="rect">
                            <a:avLst/>
                          </a:prstGeom>
                          <a:noFill/>
                          <a:ln w="9525">
                            <a:noFill/>
                            <a:miter lim="800000"/>
                            <a:headEnd/>
                            <a:tailEnd/>
                          </a:ln>
                        </pic:spPr>
                      </pic:pic>
                    </a:graphicData>
                  </a:graphic>
                </wp:inline>
              </w:drawing>
            </w:r>
          </w:p>
        </w:tc>
      </w:tr>
      <w:tr w:rsidR="00680E4C" w:rsidRPr="00FE24C0" w:rsidTr="00680E4C">
        <w:trPr>
          <w:jc w:val="center"/>
        </w:trPr>
        <w:tc>
          <w:tcPr>
            <w:tcW w:w="6912" w:type="dxa"/>
          </w:tcPr>
          <w:p w:rsidR="00680E4C" w:rsidRPr="00FE24C0" w:rsidRDefault="00444F9A" w:rsidP="00680E4C">
            <w:pPr>
              <w:pStyle w:val="Textocomentario"/>
              <w:rPr>
                <w:b/>
                <w:noProof/>
                <w:sz w:val="16"/>
                <w:szCs w:val="16"/>
                <w:lang w:eastAsia="es-AR"/>
              </w:rPr>
            </w:pPr>
            <w:r w:rsidRPr="00FE24C0">
              <w:rPr>
                <w:b/>
                <w:noProof/>
                <w:sz w:val="16"/>
                <w:szCs w:val="16"/>
                <w:lang w:eastAsia="es-AR"/>
              </w:rPr>
              <w:t xml:space="preserve">Figure </w:t>
            </w:r>
            <w:r w:rsidR="00A82F5F">
              <w:rPr>
                <w:b/>
                <w:noProof/>
                <w:sz w:val="16"/>
                <w:szCs w:val="16"/>
                <w:lang w:eastAsia="es-AR"/>
              </w:rPr>
              <w:t>A2.</w:t>
            </w:r>
            <w:r w:rsidRPr="00FE24C0">
              <w:rPr>
                <w:b/>
                <w:noProof/>
                <w:sz w:val="16"/>
                <w:szCs w:val="16"/>
                <w:lang w:eastAsia="es-AR"/>
              </w:rPr>
              <w:t xml:space="preserve">7. Excel window displayed by closing </w:t>
            </w:r>
            <w:r w:rsidRPr="00FE24C0">
              <w:rPr>
                <w:b/>
                <w:i/>
                <w:noProof/>
                <w:sz w:val="16"/>
                <w:szCs w:val="16"/>
                <w:lang w:eastAsia="es-AR"/>
              </w:rPr>
              <w:t>IBI_Parameter.xlsm</w:t>
            </w:r>
            <w:r w:rsidRPr="00FE24C0">
              <w:rPr>
                <w:b/>
                <w:noProof/>
                <w:sz w:val="16"/>
                <w:szCs w:val="16"/>
                <w:lang w:eastAsia="es-AR"/>
              </w:rPr>
              <w:t>, asking about the closing of the remaining 12 files of the Rating Tool.</w:t>
            </w:r>
          </w:p>
        </w:tc>
      </w:tr>
    </w:tbl>
    <w:p w:rsidR="00680E4C" w:rsidRPr="00FE24C0" w:rsidRDefault="00680E4C" w:rsidP="00680E4C"/>
    <w:p w:rsidR="00680E4C" w:rsidRDefault="00444F9A" w:rsidP="00680E4C">
      <w:r w:rsidRPr="00FE24C0">
        <w:t xml:space="preserve">By choosing “Sí” (Yes) all the files of the </w:t>
      </w:r>
      <w:r w:rsidR="00865CC5">
        <w:t>Departments</w:t>
      </w:r>
      <w:r w:rsidRPr="00FE24C0">
        <w:t xml:space="preserve"> will be closed by the software automatically, and </w:t>
      </w:r>
      <w:r w:rsidRPr="00FE24C0">
        <w:rPr>
          <w:b/>
          <w:u w:val="single"/>
        </w:rPr>
        <w:t xml:space="preserve">the changes </w:t>
      </w:r>
      <w:r w:rsidR="00A82F5F">
        <w:rPr>
          <w:b/>
          <w:u w:val="single"/>
        </w:rPr>
        <w:t xml:space="preserve">carried out </w:t>
      </w:r>
      <w:r w:rsidRPr="00FE24C0">
        <w:rPr>
          <w:b/>
          <w:u w:val="single"/>
        </w:rPr>
        <w:t>in them will be saved</w:t>
      </w:r>
      <w:r w:rsidRPr="00FE24C0">
        <w:t>. If “No” is chosen, the user should close each one of the files manually.</w:t>
      </w:r>
    </w:p>
    <w:p w:rsidR="000D537D" w:rsidRDefault="000D537D" w:rsidP="00680E4C"/>
    <w:p w:rsidR="000D537D" w:rsidRDefault="000D537D" w:rsidP="00680E4C"/>
    <w:p w:rsidR="000D537D" w:rsidRPr="00FE24C0" w:rsidRDefault="000D537D" w:rsidP="00680E4C"/>
    <w:p w:rsidR="00193F63" w:rsidRPr="00A82F5F" w:rsidRDefault="00444F9A" w:rsidP="00593B59">
      <w:pPr>
        <w:pStyle w:val="Prrafodelista"/>
        <w:numPr>
          <w:ilvl w:val="0"/>
          <w:numId w:val="20"/>
        </w:numPr>
        <w:spacing w:before="240" w:after="240"/>
        <w:ind w:left="357" w:hanging="357"/>
        <w:rPr>
          <w:rFonts w:ascii="Times New Roman" w:hAnsi="Times New Roman"/>
          <w:b/>
          <w:sz w:val="32"/>
          <w:szCs w:val="32"/>
        </w:rPr>
      </w:pPr>
      <w:bookmarkStart w:id="70" w:name="_Toc337309993"/>
      <w:r w:rsidRPr="00695F04">
        <w:rPr>
          <w:rFonts w:ascii="Times New Roman" w:hAnsi="Times New Roman"/>
          <w:b/>
          <w:sz w:val="32"/>
          <w:szCs w:val="32"/>
        </w:rPr>
        <w:lastRenderedPageBreak/>
        <w:t>Example: illustration of the methodology and Rating Tool use</w:t>
      </w:r>
      <w:bookmarkEnd w:id="70"/>
    </w:p>
    <w:p w:rsidR="00E43164" w:rsidRDefault="00444F9A">
      <w:r w:rsidRPr="00FE24C0">
        <w:t xml:space="preserve">This section illustrates the complete methodology applied to Cuartel 22 of the Bahía Blanca </w:t>
      </w:r>
      <w:r w:rsidR="00A82F5F">
        <w:t>Department</w:t>
      </w:r>
      <w:r w:rsidRPr="00FE24C0">
        <w:t xml:space="preserve">. All the figures exposed here can be reproduced using the Ranting Tool software. Particularly, the data shown below were extracted from the file </w:t>
      </w:r>
      <w:r w:rsidRPr="00FE24C0">
        <w:rPr>
          <w:b/>
          <w:i/>
        </w:rPr>
        <w:t>Dpto056.xlsm</w:t>
      </w:r>
      <w:r w:rsidRPr="00FE24C0">
        <w:t>.</w:t>
      </w:r>
    </w:p>
    <w:p w:rsidR="00E43164" w:rsidRDefault="00444F9A">
      <w:r w:rsidRPr="00FE24C0">
        <w:t xml:space="preserve">Furthermore, the aggregation of all the Cuartels belonging to the </w:t>
      </w:r>
      <w:r w:rsidR="00A82F5F">
        <w:t xml:space="preserve">Department </w:t>
      </w:r>
      <w:r w:rsidRPr="00FE24C0">
        <w:t>of Bahia Blanca is shown, and also the summary for all SWBA.</w:t>
      </w:r>
    </w:p>
    <w:p w:rsidR="00680E4C" w:rsidRPr="00FE24C0" w:rsidRDefault="006B699C" w:rsidP="006E1CFE">
      <w:pPr>
        <w:pStyle w:val="Ttulo2"/>
        <w:keepLines w:val="0"/>
        <w:numPr>
          <w:ilvl w:val="1"/>
          <w:numId w:val="0"/>
        </w:numPr>
        <w:tabs>
          <w:tab w:val="num" w:pos="576"/>
        </w:tabs>
        <w:spacing w:before="0" w:after="0"/>
        <w:ind w:left="576" w:hanging="576"/>
      </w:pPr>
      <w:bookmarkStart w:id="71" w:name="_Toc337309994"/>
      <w:r>
        <w:t xml:space="preserve">5.1. </w:t>
      </w:r>
      <w:r w:rsidR="00680E4C" w:rsidRPr="00FE24C0">
        <w:t>Data, HRZ and Index</w:t>
      </w:r>
      <w:bookmarkEnd w:id="71"/>
    </w:p>
    <w:p w:rsidR="006E1CFE" w:rsidRPr="00FE24C0" w:rsidRDefault="006E1CFE" w:rsidP="006E1CFE">
      <w:pPr>
        <w:spacing w:after="0"/>
      </w:pPr>
    </w:p>
    <w:p w:rsidR="00680E4C" w:rsidRPr="00FE24C0" w:rsidRDefault="00444F9A" w:rsidP="006E1CFE">
      <w:pPr>
        <w:spacing w:after="0"/>
      </w:pPr>
      <w:r w:rsidRPr="00FE24C0">
        <w:t>Cuartel 22 has 5 pixels and shows considerable heterogeneity, as three different HRZ were obtained (see Section 3.2</w:t>
      </w:r>
      <w:r w:rsidR="006B699C">
        <w:t xml:space="preserve"> of this Annex</w:t>
      </w:r>
      <w:r w:rsidRPr="00FE24C0">
        <w:t>). The first cluster, called C22_1, has 3 pixels, and the remaining two clusters (C22_2 and C22_3) have one pixel each one.</w:t>
      </w:r>
    </w:p>
    <w:p w:rsidR="006E1CFE" w:rsidRPr="00FE24C0" w:rsidRDefault="006E1CFE" w:rsidP="006E1CFE">
      <w:pPr>
        <w:spacing w:after="0"/>
      </w:pPr>
    </w:p>
    <w:p w:rsidR="00680E4C" w:rsidRPr="00FE24C0" w:rsidRDefault="00444F9A" w:rsidP="006E1CFE">
      <w:pPr>
        <w:spacing w:after="0"/>
      </w:pPr>
      <w:r w:rsidRPr="00FE24C0">
        <w:t>Following methodology described in Section 3.2</w:t>
      </w:r>
      <w:r w:rsidR="006B699C">
        <w:t xml:space="preserve"> of this Annex</w:t>
      </w:r>
      <w:r w:rsidRPr="00FE24C0">
        <w:t xml:space="preserve">, all calculations of the Rating Tool will be performed using data from Cluster C22_1, which has the higher number of pixels in it. The pixels in C22_1 are: Nº 1906, 1998 and 2089. Table </w:t>
      </w:r>
      <w:r w:rsidR="002558DC" w:rsidRPr="00FE24C0">
        <w:t>A</w:t>
      </w:r>
      <w:r w:rsidR="006B699C">
        <w:t>2.</w:t>
      </w:r>
      <w:r w:rsidRPr="00FE24C0">
        <w:t xml:space="preserve">6 displays the months in which there </w:t>
      </w:r>
      <w:r w:rsidR="006B699C">
        <w:t>are</w:t>
      </w:r>
      <w:r w:rsidR="006B699C" w:rsidRPr="00FE24C0">
        <w:t xml:space="preserve"> </w:t>
      </w:r>
      <w:r w:rsidRPr="00FE24C0">
        <w:t>missing data for the pixels just mentioned.</w:t>
      </w:r>
    </w:p>
    <w:p w:rsidR="00680E4C" w:rsidRPr="00FE24C0" w:rsidRDefault="00680E4C" w:rsidP="00680E4C"/>
    <w:tbl>
      <w:tblPr>
        <w:tblStyle w:val="Tablaconcuadrcula"/>
        <w:tblW w:w="0" w:type="auto"/>
        <w:jc w:val="center"/>
        <w:tblLook w:val="04A0"/>
      </w:tblPr>
      <w:tblGrid>
        <w:gridCol w:w="5457"/>
      </w:tblGrid>
      <w:tr w:rsidR="00680E4C" w:rsidRPr="00FE24C0" w:rsidTr="00680E4C">
        <w:trPr>
          <w:jc w:val="center"/>
        </w:trPr>
        <w:tc>
          <w:tcPr>
            <w:tcW w:w="5457" w:type="dxa"/>
            <w:vAlign w:val="center"/>
          </w:tcPr>
          <w:p w:rsidR="00680E4C" w:rsidRPr="00FE24C0" w:rsidRDefault="00193F63" w:rsidP="00680E4C">
            <w:pPr>
              <w:jc w:val="center"/>
            </w:pPr>
            <w:r w:rsidRPr="00FE24C0">
              <w:rPr>
                <w:noProof/>
                <w:lang w:val="es-AR" w:eastAsia="es-AR"/>
              </w:rPr>
              <w:drawing>
                <wp:inline distT="0" distB="0" distL="0" distR="0">
                  <wp:extent cx="2298065" cy="2106930"/>
                  <wp:effectExtent l="19050" t="19050" r="26035" b="26670"/>
                  <wp:docPr id="8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cstate="print"/>
                          <a:srcRect/>
                          <a:stretch>
                            <a:fillRect/>
                          </a:stretch>
                        </pic:blipFill>
                        <pic:spPr bwMode="auto">
                          <a:xfrm>
                            <a:off x="0" y="0"/>
                            <a:ext cx="2298065" cy="2106930"/>
                          </a:xfrm>
                          <a:prstGeom prst="rect">
                            <a:avLst/>
                          </a:prstGeom>
                          <a:noFill/>
                          <a:ln w="9525">
                            <a:solidFill>
                              <a:schemeClr val="tx1"/>
                            </a:solidFill>
                            <a:miter lim="800000"/>
                            <a:headEnd/>
                            <a:tailEnd/>
                          </a:ln>
                        </pic:spPr>
                      </pic:pic>
                    </a:graphicData>
                  </a:graphic>
                </wp:inline>
              </w:drawing>
            </w:r>
          </w:p>
        </w:tc>
      </w:tr>
      <w:tr w:rsidR="00680E4C" w:rsidRPr="00FE24C0" w:rsidTr="00680E4C">
        <w:trPr>
          <w:jc w:val="center"/>
        </w:trPr>
        <w:tc>
          <w:tcPr>
            <w:tcW w:w="5457" w:type="dxa"/>
            <w:vAlign w:val="center"/>
          </w:tcPr>
          <w:p w:rsidR="00680E4C" w:rsidRPr="00FE24C0" w:rsidRDefault="00444F9A" w:rsidP="00680E4C">
            <w:pPr>
              <w:jc w:val="left"/>
              <w:rPr>
                <w:b/>
                <w:sz w:val="16"/>
                <w:szCs w:val="16"/>
              </w:rPr>
            </w:pPr>
            <w:r w:rsidRPr="00FE24C0">
              <w:rPr>
                <w:b/>
                <w:sz w:val="16"/>
                <w:szCs w:val="16"/>
              </w:rPr>
              <w:t xml:space="preserve">Table </w:t>
            </w:r>
            <w:r w:rsidR="002558DC" w:rsidRPr="00FE24C0">
              <w:rPr>
                <w:b/>
                <w:sz w:val="16"/>
                <w:szCs w:val="16"/>
              </w:rPr>
              <w:t>A</w:t>
            </w:r>
            <w:r w:rsidR="006B699C">
              <w:rPr>
                <w:b/>
                <w:sz w:val="16"/>
                <w:szCs w:val="16"/>
              </w:rPr>
              <w:t>2.</w:t>
            </w:r>
            <w:r w:rsidRPr="00FE24C0">
              <w:rPr>
                <w:b/>
                <w:sz w:val="16"/>
                <w:szCs w:val="16"/>
              </w:rPr>
              <w:t>6. Missing data in pixels 1906, 1998 and 2089, belonging to Cluster Nº 1 of the Cuartel 22 (C22_1) from Bahia Blanca.</w:t>
            </w:r>
          </w:p>
        </w:tc>
      </w:tr>
    </w:tbl>
    <w:p w:rsidR="00680E4C" w:rsidRPr="00FE24C0" w:rsidRDefault="00680E4C" w:rsidP="00680E4C"/>
    <w:p w:rsidR="00680E4C" w:rsidRDefault="00444F9A" w:rsidP="006E1CFE">
      <w:pPr>
        <w:spacing w:after="0"/>
        <w:rPr>
          <w:b/>
          <w:u w:val="single"/>
        </w:rPr>
      </w:pPr>
      <w:r w:rsidRPr="00FE24C0">
        <w:rPr>
          <w:b/>
          <w:u w:val="single"/>
        </w:rPr>
        <w:t>Filling data gaps</w:t>
      </w:r>
    </w:p>
    <w:p w:rsidR="006B699C" w:rsidRPr="00FE24C0" w:rsidRDefault="006B699C" w:rsidP="006E1CFE">
      <w:pPr>
        <w:spacing w:after="0"/>
        <w:rPr>
          <w:b/>
          <w:u w:val="single"/>
        </w:rPr>
      </w:pPr>
    </w:p>
    <w:p w:rsidR="00680E4C" w:rsidRPr="00FE24C0" w:rsidRDefault="00444F9A" w:rsidP="006E1CFE">
      <w:pPr>
        <w:spacing w:after="0"/>
      </w:pPr>
      <w:r w:rsidRPr="00FE24C0">
        <w:t xml:space="preserve">Shown below is the procedure to fill the missing datum from </w:t>
      </w:r>
      <w:r w:rsidRPr="00FE24C0">
        <w:rPr>
          <w:u w:val="single"/>
        </w:rPr>
        <w:t>pixel 1906 in Jun/1994</w:t>
      </w:r>
      <w:r w:rsidRPr="00FE24C0">
        <w:t xml:space="preserve">, and then is shown the final filled data for all missing data exposed in Table </w:t>
      </w:r>
      <w:r w:rsidR="002558DC" w:rsidRPr="00FE24C0">
        <w:t>A</w:t>
      </w:r>
      <w:r w:rsidR="006B699C">
        <w:t>2.</w:t>
      </w:r>
      <w:r w:rsidRPr="00FE24C0">
        <w:t xml:space="preserve">6. </w:t>
      </w:r>
    </w:p>
    <w:p w:rsidR="006E1CFE" w:rsidRPr="00FE24C0" w:rsidRDefault="006E1CFE" w:rsidP="006E1CFE">
      <w:pPr>
        <w:spacing w:after="0"/>
      </w:pPr>
    </w:p>
    <w:p w:rsidR="00680E4C" w:rsidRPr="00FE24C0" w:rsidRDefault="00444F9A" w:rsidP="006E1CFE">
      <w:pPr>
        <w:spacing w:after="0"/>
      </w:pPr>
      <w:r w:rsidRPr="00FE24C0">
        <w:t xml:space="preserve">First, the percentage monthly changes of the NDVI for the pixel under analysis are calculated (pixel 1906 in our case). Table </w:t>
      </w:r>
      <w:r w:rsidR="002558DC" w:rsidRPr="00FE24C0">
        <w:t>A</w:t>
      </w:r>
      <w:r w:rsidR="006B699C">
        <w:t>2.</w:t>
      </w:r>
      <w:r w:rsidRPr="00FE24C0">
        <w:t xml:space="preserve">7 illustrates the first values of the sample, </w:t>
      </w:r>
      <w:proofErr w:type="gramStart"/>
      <w:r w:rsidRPr="00FE24C0">
        <w:t xml:space="preserve">where </w:t>
      </w:r>
      <w:proofErr w:type="gramEnd"/>
      <w:r w:rsidR="00680E4C" w:rsidRPr="00FE24C0">
        <w:rPr>
          <w:position w:val="-14"/>
        </w:rPr>
        <w:object w:dxaOrig="2320" w:dyaOrig="340">
          <v:shape id="_x0000_i1064" type="#_x0000_t75" style="width:116.25pt;height:15.75pt" o:ole="">
            <v:imagedata r:id="rId162" o:title=""/>
          </v:shape>
          <o:OLEObject Type="Embed" ProgID="Equation.DSMT4" ShapeID="_x0000_i1064" DrawAspect="Content" ObjectID="_1419536203" r:id="rId163"/>
        </w:object>
      </w:r>
      <w:r w:rsidRPr="00FE24C0">
        <w:t>.</w:t>
      </w:r>
    </w:p>
    <w:tbl>
      <w:tblPr>
        <w:tblStyle w:val="Tablaconcuadrcula"/>
        <w:tblW w:w="0" w:type="auto"/>
        <w:jc w:val="center"/>
        <w:tblLook w:val="04A0"/>
      </w:tblPr>
      <w:tblGrid>
        <w:gridCol w:w="5221"/>
      </w:tblGrid>
      <w:tr w:rsidR="00680E4C" w:rsidRPr="00FE24C0" w:rsidTr="00680E4C">
        <w:trPr>
          <w:jc w:val="center"/>
        </w:trPr>
        <w:tc>
          <w:tcPr>
            <w:tcW w:w="5221" w:type="dxa"/>
            <w:vAlign w:val="center"/>
          </w:tcPr>
          <w:p w:rsidR="00680E4C" w:rsidRPr="00FE24C0" w:rsidRDefault="00193F63" w:rsidP="00680E4C">
            <w:pPr>
              <w:jc w:val="center"/>
            </w:pPr>
            <w:r w:rsidRPr="00FE24C0">
              <w:rPr>
                <w:noProof/>
                <w:lang w:val="es-AR" w:eastAsia="es-AR"/>
              </w:rPr>
              <w:lastRenderedPageBreak/>
              <w:drawing>
                <wp:inline distT="0" distB="0" distL="0" distR="0">
                  <wp:extent cx="1623107" cy="1987826"/>
                  <wp:effectExtent l="19050" t="0" r="0" b="0"/>
                  <wp:docPr id="8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srcRect/>
                          <a:stretch>
                            <a:fillRect/>
                          </a:stretch>
                        </pic:blipFill>
                        <pic:spPr bwMode="auto">
                          <a:xfrm>
                            <a:off x="0" y="0"/>
                            <a:ext cx="1623204" cy="1987945"/>
                          </a:xfrm>
                          <a:prstGeom prst="rect">
                            <a:avLst/>
                          </a:prstGeom>
                          <a:noFill/>
                          <a:ln w="9525">
                            <a:noFill/>
                            <a:miter lim="800000"/>
                            <a:headEnd/>
                            <a:tailEnd/>
                          </a:ln>
                        </pic:spPr>
                      </pic:pic>
                    </a:graphicData>
                  </a:graphic>
                </wp:inline>
              </w:drawing>
            </w:r>
          </w:p>
        </w:tc>
      </w:tr>
      <w:tr w:rsidR="00680E4C" w:rsidRPr="00FE24C0" w:rsidTr="00680E4C">
        <w:trPr>
          <w:jc w:val="center"/>
        </w:trPr>
        <w:tc>
          <w:tcPr>
            <w:tcW w:w="5221" w:type="dxa"/>
            <w:vAlign w:val="center"/>
          </w:tcPr>
          <w:p w:rsidR="00680E4C" w:rsidRPr="00FE24C0" w:rsidRDefault="00444F9A" w:rsidP="00680E4C">
            <w:pPr>
              <w:jc w:val="left"/>
              <w:rPr>
                <w:b/>
                <w:sz w:val="16"/>
                <w:szCs w:val="16"/>
              </w:rPr>
            </w:pPr>
            <w:r w:rsidRPr="00FE24C0">
              <w:rPr>
                <w:b/>
                <w:sz w:val="16"/>
                <w:szCs w:val="16"/>
              </w:rPr>
              <w:t xml:space="preserve">Table </w:t>
            </w:r>
            <w:r w:rsidR="002558DC" w:rsidRPr="00FE24C0">
              <w:rPr>
                <w:b/>
                <w:sz w:val="16"/>
                <w:szCs w:val="16"/>
              </w:rPr>
              <w:t>A</w:t>
            </w:r>
            <w:r w:rsidR="006B699C">
              <w:rPr>
                <w:b/>
                <w:sz w:val="16"/>
                <w:szCs w:val="16"/>
              </w:rPr>
              <w:t>2.</w:t>
            </w:r>
            <w:r w:rsidRPr="00FE24C0">
              <w:rPr>
                <w:b/>
                <w:sz w:val="16"/>
                <w:szCs w:val="16"/>
              </w:rPr>
              <w:t xml:space="preserve">7. NDVI time series and monthly percentage change for pixel 1906. </w:t>
            </w:r>
          </w:p>
        </w:tc>
      </w:tr>
    </w:tbl>
    <w:p w:rsidR="00680E4C" w:rsidRPr="00FE24C0" w:rsidRDefault="00680E4C" w:rsidP="00680E4C"/>
    <w:p w:rsidR="00680E4C" w:rsidRPr="00FE24C0" w:rsidRDefault="00680E4C" w:rsidP="006E1CFE">
      <w:pPr>
        <w:spacing w:after="0"/>
      </w:pPr>
      <w:r w:rsidRPr="00FE24C0">
        <w:t xml:space="preserve">Next, as the missed value is from June, all data in the 28 years database from June are considered to calculate the average and minimum (see Table </w:t>
      </w:r>
      <w:r w:rsidR="002558DC" w:rsidRPr="00FE24C0">
        <w:t>A</w:t>
      </w:r>
      <w:r w:rsidR="006B699C">
        <w:t>2.</w:t>
      </w:r>
      <w:r w:rsidRPr="00FE24C0">
        <w:t>8). Finally, to fill the gap in June 1994, the average or minimum percentage change (according to the method chosen, see Section 3.1</w:t>
      </w:r>
      <w:r w:rsidR="006B699C">
        <w:t xml:space="preserve"> of this Annex</w:t>
      </w:r>
      <w:r w:rsidRPr="00FE24C0">
        <w:t xml:space="preserve">) is applied to the datum in May 1994. The filled data are as follow, where the superscript indicates the methodology used: </w:t>
      </w:r>
    </w:p>
    <w:p w:rsidR="00680E4C" w:rsidRPr="00FE24C0" w:rsidRDefault="00680E4C" w:rsidP="00680E4C">
      <w:pPr>
        <w:jc w:val="center"/>
      </w:pPr>
      <w:r w:rsidRPr="00FE24C0">
        <w:rPr>
          <w:position w:val="-16"/>
        </w:rPr>
        <w:object w:dxaOrig="6580" w:dyaOrig="440">
          <v:shape id="_x0000_i1065" type="#_x0000_t75" style="width:327pt;height:22.5pt" o:ole="">
            <v:imagedata r:id="rId165" o:title=""/>
          </v:shape>
          <o:OLEObject Type="Embed" ProgID="Equation.DSMT4" ShapeID="_x0000_i1065" DrawAspect="Content" ObjectID="_1419536204" r:id="rId166"/>
        </w:object>
      </w:r>
    </w:p>
    <w:p w:rsidR="00680E4C" w:rsidRPr="00FE24C0" w:rsidRDefault="00680E4C" w:rsidP="00680E4C">
      <w:pPr>
        <w:jc w:val="center"/>
      </w:pPr>
      <w:r w:rsidRPr="00FE24C0">
        <w:rPr>
          <w:position w:val="-16"/>
        </w:rPr>
        <w:object w:dxaOrig="6920" w:dyaOrig="440">
          <v:shape id="_x0000_i1066" type="#_x0000_t75" style="width:345pt;height:22.5pt" o:ole="">
            <v:imagedata r:id="rId167" o:title=""/>
          </v:shape>
          <o:OLEObject Type="Embed" ProgID="Equation.DSMT4" ShapeID="_x0000_i1066" DrawAspect="Content" ObjectID="_1419536205" r:id="rId168"/>
        </w:object>
      </w:r>
    </w:p>
    <w:p w:rsidR="00680E4C" w:rsidRPr="00FE24C0" w:rsidRDefault="00680E4C" w:rsidP="00680E4C"/>
    <w:p w:rsidR="00680E4C" w:rsidRPr="00FE24C0" w:rsidRDefault="00444F9A" w:rsidP="006E1CFE">
      <w:pPr>
        <w:spacing w:after="0"/>
      </w:pPr>
      <w:r w:rsidRPr="00FE24C0">
        <w:t xml:space="preserve">In the remainder of the example, data filled using </w:t>
      </w:r>
      <w:r w:rsidRPr="00FE24C0">
        <w:rPr>
          <w:b/>
          <w:u w:val="single"/>
        </w:rPr>
        <w:t>Minimum</w:t>
      </w:r>
      <w:r w:rsidRPr="00FE24C0">
        <w:t xml:space="preserve"> percentage change are used. Filled missing data for Cluster C22_1 from Bahia Blanca are shown in Table </w:t>
      </w:r>
      <w:r w:rsidR="002558DC" w:rsidRPr="00FE24C0">
        <w:t>A</w:t>
      </w:r>
      <w:r w:rsidR="008745B6">
        <w:t>2.</w:t>
      </w:r>
      <w:r w:rsidRPr="00FE24C0">
        <w:t>9.</w:t>
      </w:r>
    </w:p>
    <w:p w:rsidR="006E1CFE" w:rsidRPr="00FE24C0" w:rsidRDefault="006E1CFE" w:rsidP="006E1CFE">
      <w:pPr>
        <w:spacing w:after="0"/>
      </w:pPr>
    </w:p>
    <w:p w:rsidR="00680E4C" w:rsidRPr="00FE24C0" w:rsidRDefault="00444F9A" w:rsidP="006E1CFE">
      <w:pPr>
        <w:spacing w:after="0"/>
      </w:pPr>
      <w:r w:rsidRPr="00FE24C0">
        <w:t xml:space="preserve">Finally, using the complete NDVI time series for each pixel, the average in each month is calculated in order to get the time series for the </w:t>
      </w:r>
      <w:r w:rsidRPr="00FE24C0">
        <w:rPr>
          <w:b/>
        </w:rPr>
        <w:t>Index</w:t>
      </w:r>
      <w:r w:rsidRPr="00FE24C0">
        <w:t xml:space="preserve">. Table </w:t>
      </w:r>
      <w:r w:rsidR="002558DC" w:rsidRPr="00FE24C0">
        <w:t>A</w:t>
      </w:r>
      <w:r w:rsidR="008745B6">
        <w:t>2.</w:t>
      </w:r>
      <w:r w:rsidRPr="00FE24C0">
        <w:t xml:space="preserve">10 illustrates the </w:t>
      </w:r>
      <w:proofErr w:type="gramStart"/>
      <w:r w:rsidRPr="00FE24C0">
        <w:t>firsts</w:t>
      </w:r>
      <w:proofErr w:type="gramEnd"/>
      <w:r w:rsidRPr="00FE24C0">
        <w:t xml:space="preserve"> data of the Index time series for Cluster C22_1. </w:t>
      </w:r>
    </w:p>
    <w:p w:rsidR="00680E4C" w:rsidRPr="00FE24C0" w:rsidRDefault="00680E4C" w:rsidP="00680E4C"/>
    <w:tbl>
      <w:tblPr>
        <w:tblStyle w:val="Tablaconcuadrcula"/>
        <w:tblW w:w="0" w:type="auto"/>
        <w:jc w:val="center"/>
        <w:tblLook w:val="04A0"/>
      </w:tblPr>
      <w:tblGrid>
        <w:gridCol w:w="5993"/>
      </w:tblGrid>
      <w:tr w:rsidR="00680E4C" w:rsidRPr="00FE24C0" w:rsidTr="00680E4C">
        <w:trPr>
          <w:trHeight w:val="8702"/>
          <w:jc w:val="center"/>
        </w:trPr>
        <w:tc>
          <w:tcPr>
            <w:tcW w:w="5993" w:type="dxa"/>
            <w:vAlign w:val="center"/>
          </w:tcPr>
          <w:p w:rsidR="00680E4C" w:rsidRPr="00FE24C0" w:rsidRDefault="00680E4C" w:rsidP="00680E4C">
            <w:pPr>
              <w:jc w:val="center"/>
            </w:pPr>
            <w:r w:rsidRPr="00FE24C0">
              <w:rPr>
                <w:noProof/>
                <w:lang w:val="es-AR" w:eastAsia="es-AR"/>
              </w:rPr>
              <w:lastRenderedPageBreak/>
              <w:drawing>
                <wp:inline distT="0" distB="0" distL="0" distR="0">
                  <wp:extent cx="1411048" cy="5438693"/>
                  <wp:effectExtent l="19050" t="0" r="0" b="0"/>
                  <wp:docPr id="9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9" cstate="print"/>
                          <a:srcRect/>
                          <a:stretch>
                            <a:fillRect/>
                          </a:stretch>
                        </pic:blipFill>
                        <pic:spPr bwMode="auto">
                          <a:xfrm>
                            <a:off x="0" y="0"/>
                            <a:ext cx="1414406" cy="5451637"/>
                          </a:xfrm>
                          <a:prstGeom prst="rect">
                            <a:avLst/>
                          </a:prstGeom>
                          <a:noFill/>
                          <a:ln w="9525">
                            <a:noFill/>
                            <a:miter lim="800000"/>
                            <a:headEnd/>
                            <a:tailEnd/>
                          </a:ln>
                        </pic:spPr>
                      </pic:pic>
                    </a:graphicData>
                  </a:graphic>
                </wp:inline>
              </w:drawing>
            </w:r>
          </w:p>
        </w:tc>
      </w:tr>
      <w:tr w:rsidR="00680E4C" w:rsidRPr="00FE24C0" w:rsidTr="00843EDE">
        <w:trPr>
          <w:trHeight w:val="20"/>
          <w:jc w:val="center"/>
        </w:trPr>
        <w:tc>
          <w:tcPr>
            <w:tcW w:w="5993" w:type="dxa"/>
            <w:vAlign w:val="center"/>
          </w:tcPr>
          <w:p w:rsidR="00680E4C" w:rsidRPr="00FE24C0" w:rsidRDefault="00444F9A" w:rsidP="00843EDE">
            <w:pPr>
              <w:spacing w:after="0"/>
              <w:jc w:val="left"/>
              <w:rPr>
                <w:b/>
                <w:sz w:val="16"/>
                <w:szCs w:val="16"/>
              </w:rPr>
            </w:pPr>
            <w:r w:rsidRPr="00FE24C0">
              <w:rPr>
                <w:b/>
                <w:sz w:val="16"/>
                <w:szCs w:val="16"/>
              </w:rPr>
              <w:t xml:space="preserve">Table </w:t>
            </w:r>
            <w:r w:rsidR="002558DC" w:rsidRPr="00FE24C0">
              <w:rPr>
                <w:b/>
                <w:sz w:val="16"/>
                <w:szCs w:val="16"/>
              </w:rPr>
              <w:t>A</w:t>
            </w:r>
            <w:r w:rsidR="008745B6">
              <w:rPr>
                <w:b/>
                <w:sz w:val="16"/>
                <w:szCs w:val="16"/>
              </w:rPr>
              <w:t>2.</w:t>
            </w:r>
            <w:r w:rsidRPr="00FE24C0">
              <w:rPr>
                <w:b/>
                <w:sz w:val="16"/>
                <w:szCs w:val="16"/>
              </w:rPr>
              <w:t xml:space="preserve">8. Percentage change May-to-June in the 28 years of database for pixel 1906. </w:t>
            </w:r>
          </w:p>
        </w:tc>
      </w:tr>
    </w:tbl>
    <w:p w:rsidR="00680E4C" w:rsidRPr="00FE24C0" w:rsidRDefault="00680E4C" w:rsidP="00680E4C"/>
    <w:tbl>
      <w:tblPr>
        <w:tblStyle w:val="Tablaconcuadrcula"/>
        <w:tblW w:w="0" w:type="auto"/>
        <w:jc w:val="center"/>
        <w:tblLook w:val="04A0"/>
      </w:tblPr>
      <w:tblGrid>
        <w:gridCol w:w="6487"/>
        <w:gridCol w:w="425"/>
      </w:tblGrid>
      <w:tr w:rsidR="00680E4C" w:rsidRPr="00FE24C0" w:rsidTr="00680E4C">
        <w:trPr>
          <w:gridAfter w:val="1"/>
          <w:wAfter w:w="425" w:type="dxa"/>
          <w:jc w:val="center"/>
        </w:trPr>
        <w:tc>
          <w:tcPr>
            <w:tcW w:w="6487" w:type="dxa"/>
          </w:tcPr>
          <w:p w:rsidR="00680E4C" w:rsidRPr="00FE24C0" w:rsidRDefault="00193F63" w:rsidP="00680E4C">
            <w:pPr>
              <w:jc w:val="center"/>
            </w:pPr>
            <w:r w:rsidRPr="00FE24C0">
              <w:rPr>
                <w:noProof/>
                <w:lang w:val="es-AR" w:eastAsia="es-AR"/>
              </w:rPr>
              <w:drawing>
                <wp:inline distT="0" distB="0" distL="0" distR="0">
                  <wp:extent cx="3253712" cy="1765189"/>
                  <wp:effectExtent l="19050" t="0" r="3838" b="0"/>
                  <wp:docPr id="9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print"/>
                          <a:srcRect/>
                          <a:stretch>
                            <a:fillRect/>
                          </a:stretch>
                        </pic:blipFill>
                        <pic:spPr bwMode="auto">
                          <a:xfrm>
                            <a:off x="0" y="0"/>
                            <a:ext cx="3256459" cy="1766679"/>
                          </a:xfrm>
                          <a:prstGeom prst="rect">
                            <a:avLst/>
                          </a:prstGeom>
                          <a:noFill/>
                          <a:ln w="9525">
                            <a:noFill/>
                            <a:miter lim="800000"/>
                            <a:headEnd/>
                            <a:tailEnd/>
                          </a:ln>
                        </pic:spPr>
                      </pic:pic>
                    </a:graphicData>
                  </a:graphic>
                </wp:inline>
              </w:drawing>
            </w:r>
          </w:p>
        </w:tc>
      </w:tr>
      <w:tr w:rsidR="00680E4C" w:rsidRPr="00FE24C0" w:rsidTr="00680E4C">
        <w:trPr>
          <w:gridAfter w:val="1"/>
          <w:wAfter w:w="425" w:type="dxa"/>
          <w:jc w:val="center"/>
        </w:trPr>
        <w:tc>
          <w:tcPr>
            <w:tcW w:w="6487" w:type="dxa"/>
          </w:tcPr>
          <w:p w:rsidR="00680E4C" w:rsidRPr="00FE24C0" w:rsidRDefault="00444F9A" w:rsidP="00843EDE">
            <w:pPr>
              <w:spacing w:after="0"/>
            </w:pPr>
            <w:r w:rsidRPr="00FE24C0">
              <w:rPr>
                <w:b/>
                <w:sz w:val="16"/>
                <w:szCs w:val="16"/>
              </w:rPr>
              <w:t xml:space="preserve">Table </w:t>
            </w:r>
            <w:r w:rsidR="002558DC" w:rsidRPr="00FE24C0">
              <w:rPr>
                <w:b/>
                <w:sz w:val="16"/>
                <w:szCs w:val="16"/>
              </w:rPr>
              <w:t>A</w:t>
            </w:r>
            <w:r w:rsidR="008745B6">
              <w:rPr>
                <w:b/>
                <w:sz w:val="16"/>
                <w:szCs w:val="16"/>
              </w:rPr>
              <w:t>2.</w:t>
            </w:r>
            <w:r w:rsidRPr="00FE24C0">
              <w:rPr>
                <w:b/>
                <w:sz w:val="16"/>
                <w:szCs w:val="16"/>
              </w:rPr>
              <w:t xml:space="preserve">9. Filled data </w:t>
            </w:r>
            <w:r w:rsidR="008745B6">
              <w:rPr>
                <w:b/>
                <w:sz w:val="16"/>
                <w:szCs w:val="16"/>
              </w:rPr>
              <w:t xml:space="preserve">with Minimum </w:t>
            </w:r>
            <w:r w:rsidRPr="00FE24C0">
              <w:rPr>
                <w:b/>
                <w:sz w:val="16"/>
                <w:szCs w:val="16"/>
              </w:rPr>
              <w:t xml:space="preserve">in pixels 1906, 1998 and 2089, belonging to Cluster 1 </w:t>
            </w:r>
            <w:r w:rsidRPr="00FE24C0">
              <w:rPr>
                <w:b/>
                <w:sz w:val="16"/>
                <w:szCs w:val="16"/>
              </w:rPr>
              <w:lastRenderedPageBreak/>
              <w:t xml:space="preserve">from Cuartel 22 of Bahia Blanca, </w:t>
            </w:r>
            <w:r w:rsidRPr="00FE24C0">
              <w:rPr>
                <w:b/>
                <w:sz w:val="16"/>
                <w:szCs w:val="16"/>
                <w:u w:val="single"/>
              </w:rPr>
              <w:t>using Minimum percentage change</w:t>
            </w:r>
            <w:r w:rsidRPr="00FE24C0">
              <w:rPr>
                <w:b/>
                <w:sz w:val="16"/>
                <w:szCs w:val="16"/>
              </w:rPr>
              <w:t xml:space="preserve"> to fill.</w:t>
            </w:r>
          </w:p>
        </w:tc>
      </w:tr>
      <w:tr w:rsidR="00680E4C" w:rsidRPr="00FE24C0" w:rsidTr="00680E4C">
        <w:trPr>
          <w:jc w:val="center"/>
        </w:trPr>
        <w:tc>
          <w:tcPr>
            <w:tcW w:w="6912" w:type="dxa"/>
            <w:gridSpan w:val="2"/>
          </w:tcPr>
          <w:p w:rsidR="00680E4C" w:rsidRPr="00FE24C0" w:rsidRDefault="00193F63" w:rsidP="00680E4C">
            <w:pPr>
              <w:jc w:val="center"/>
            </w:pPr>
            <w:r w:rsidRPr="00FE24C0">
              <w:rPr>
                <w:noProof/>
                <w:lang w:val="es-AR" w:eastAsia="es-AR"/>
              </w:rPr>
              <w:lastRenderedPageBreak/>
              <w:drawing>
                <wp:inline distT="0" distB="0" distL="0" distR="0">
                  <wp:extent cx="3034251" cy="1978574"/>
                  <wp:effectExtent l="19050" t="0" r="0" b="0"/>
                  <wp:docPr id="9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1" cstate="print"/>
                          <a:srcRect/>
                          <a:stretch>
                            <a:fillRect/>
                          </a:stretch>
                        </pic:blipFill>
                        <pic:spPr bwMode="auto">
                          <a:xfrm>
                            <a:off x="0" y="0"/>
                            <a:ext cx="3036535" cy="1980064"/>
                          </a:xfrm>
                          <a:prstGeom prst="rect">
                            <a:avLst/>
                          </a:prstGeom>
                          <a:noFill/>
                          <a:ln w="9525">
                            <a:noFill/>
                            <a:miter lim="800000"/>
                            <a:headEnd/>
                            <a:tailEnd/>
                          </a:ln>
                        </pic:spPr>
                      </pic:pic>
                    </a:graphicData>
                  </a:graphic>
                </wp:inline>
              </w:drawing>
            </w:r>
          </w:p>
        </w:tc>
      </w:tr>
      <w:tr w:rsidR="00680E4C" w:rsidRPr="00FE24C0" w:rsidTr="00680E4C">
        <w:trPr>
          <w:jc w:val="center"/>
        </w:trPr>
        <w:tc>
          <w:tcPr>
            <w:tcW w:w="6912" w:type="dxa"/>
            <w:gridSpan w:val="2"/>
          </w:tcPr>
          <w:p w:rsidR="00680E4C" w:rsidRPr="00FE24C0" w:rsidRDefault="00444F9A" w:rsidP="00680E4C">
            <w:r w:rsidRPr="00FE24C0">
              <w:rPr>
                <w:b/>
                <w:sz w:val="16"/>
                <w:szCs w:val="16"/>
              </w:rPr>
              <w:t xml:space="preserve">Table </w:t>
            </w:r>
            <w:r w:rsidR="002558DC" w:rsidRPr="00FE24C0">
              <w:rPr>
                <w:b/>
                <w:sz w:val="16"/>
                <w:szCs w:val="16"/>
              </w:rPr>
              <w:t>A</w:t>
            </w:r>
            <w:r w:rsidR="008745B6">
              <w:rPr>
                <w:b/>
                <w:sz w:val="16"/>
                <w:szCs w:val="16"/>
              </w:rPr>
              <w:t>2.</w:t>
            </w:r>
            <w:r w:rsidRPr="00FE24C0">
              <w:rPr>
                <w:b/>
                <w:sz w:val="16"/>
                <w:szCs w:val="16"/>
              </w:rPr>
              <w:t>10. NDVI time series for pixels 1906, 1998 and 2089, belonging to Cluster 1 from Cuartel 22 of Bahia Blanca, and Index time series calculated as the simple NDVI average of each pixel.</w:t>
            </w:r>
          </w:p>
        </w:tc>
      </w:tr>
    </w:tbl>
    <w:p w:rsidR="00680E4C" w:rsidRPr="00FE24C0" w:rsidRDefault="00680E4C" w:rsidP="006E1CFE">
      <w:pPr>
        <w:spacing w:after="0"/>
      </w:pPr>
    </w:p>
    <w:p w:rsidR="00680E4C" w:rsidRPr="00FE24C0" w:rsidRDefault="008745B6" w:rsidP="006E1CFE">
      <w:pPr>
        <w:pStyle w:val="Ttulo2"/>
        <w:keepLines w:val="0"/>
        <w:numPr>
          <w:ilvl w:val="1"/>
          <w:numId w:val="0"/>
        </w:numPr>
        <w:tabs>
          <w:tab w:val="num" w:pos="576"/>
        </w:tabs>
        <w:spacing w:before="0" w:after="0"/>
        <w:ind w:left="576" w:hanging="576"/>
      </w:pPr>
      <w:bookmarkStart w:id="72" w:name="_Toc337309995"/>
      <w:r>
        <w:t xml:space="preserve">5.2. </w:t>
      </w:r>
      <w:r w:rsidR="00680E4C" w:rsidRPr="00FE24C0">
        <w:t>Trigger and Exit Index calculation</w:t>
      </w:r>
      <w:bookmarkEnd w:id="72"/>
      <w:r w:rsidR="00680E4C" w:rsidRPr="00FE24C0">
        <w:t xml:space="preserve"> </w:t>
      </w:r>
    </w:p>
    <w:p w:rsidR="006E1CFE" w:rsidRPr="00FE24C0" w:rsidRDefault="006E1CFE" w:rsidP="006E1CFE">
      <w:pPr>
        <w:spacing w:after="0"/>
      </w:pPr>
    </w:p>
    <w:p w:rsidR="00680E4C" w:rsidRPr="00FE24C0" w:rsidRDefault="00444F9A" w:rsidP="006E1CFE">
      <w:pPr>
        <w:spacing w:after="0"/>
      </w:pPr>
      <w:r w:rsidRPr="00FE24C0">
        <w:t>The following illustrates the calculation of the Trigger and Exit Index for October, and then are shown the results for all the months of the cover period, namely: March, April, May, September, October and November (see Section 3.3</w:t>
      </w:r>
      <w:r w:rsidR="008745B6">
        <w:t xml:space="preserve"> of this Annex</w:t>
      </w:r>
      <w:r w:rsidRPr="00FE24C0">
        <w:t xml:space="preserve">). October Index data in each year of the database are shown in Table </w:t>
      </w:r>
      <w:r w:rsidR="00F35F4C" w:rsidRPr="00FE24C0">
        <w:t>A</w:t>
      </w:r>
      <w:r w:rsidR="008745B6">
        <w:t>2.</w:t>
      </w:r>
      <w:r w:rsidRPr="00FE24C0">
        <w:t>11.</w:t>
      </w:r>
    </w:p>
    <w:p w:rsidR="00680E4C" w:rsidRPr="00FE24C0" w:rsidRDefault="00680E4C" w:rsidP="006E1CFE">
      <w:pPr>
        <w:spacing w:after="0"/>
      </w:pPr>
    </w:p>
    <w:p w:rsidR="00680E4C" w:rsidRPr="00FE24C0" w:rsidRDefault="00444F9A" w:rsidP="006E1CFE">
      <w:pPr>
        <w:spacing w:after="0"/>
        <w:rPr>
          <w:b/>
          <w:u w:val="single"/>
        </w:rPr>
      </w:pPr>
      <w:r w:rsidRPr="00FE24C0">
        <w:rPr>
          <w:b/>
          <w:u w:val="single"/>
        </w:rPr>
        <w:t>Trigger Index (TI) for October</w:t>
      </w:r>
    </w:p>
    <w:p w:rsidR="006E1CFE" w:rsidRPr="00FE24C0" w:rsidRDefault="006E1CFE" w:rsidP="006E1CFE">
      <w:pPr>
        <w:spacing w:after="0"/>
      </w:pPr>
    </w:p>
    <w:p w:rsidR="00680E4C" w:rsidRPr="00FE24C0" w:rsidRDefault="00444F9A" w:rsidP="006E1CFE">
      <w:pPr>
        <w:spacing w:after="0"/>
      </w:pPr>
      <w:r w:rsidRPr="00FE24C0">
        <w:t xml:space="preserve">October TI for Cuartel 22 (using data from Cluster 1) is calculated as the percentile of the distribution shown in Table </w:t>
      </w:r>
      <w:r w:rsidR="00F35F4C" w:rsidRPr="00FE24C0">
        <w:t>A</w:t>
      </w:r>
      <w:r w:rsidR="008745B6">
        <w:t>2.</w:t>
      </w:r>
      <w:r w:rsidRPr="00FE24C0">
        <w:t>11, using the Return Period (RP) chosen. For instance, for a RP of 7 years, the Trigger is the Index value that accumulates a probability of 14.28% (≈1/7). In general, the Trigger is implied in the following relationship:</w:t>
      </w:r>
    </w:p>
    <w:p w:rsidR="00680E4C" w:rsidRPr="00FE24C0" w:rsidRDefault="00680E4C" w:rsidP="00680E4C">
      <w:pPr>
        <w:jc w:val="center"/>
      </w:pPr>
      <w:r w:rsidRPr="00FE24C0">
        <w:rPr>
          <w:position w:val="-12"/>
        </w:rPr>
        <w:object w:dxaOrig="1740" w:dyaOrig="340">
          <v:shape id="_x0000_i1067" type="#_x0000_t75" style="width:87pt;height:15.75pt" o:ole="">
            <v:imagedata r:id="rId172" o:title=""/>
          </v:shape>
          <o:OLEObject Type="Embed" ProgID="Equation.DSMT4" ShapeID="_x0000_i1067" DrawAspect="Content" ObjectID="_1419536206" r:id="rId173"/>
        </w:object>
      </w:r>
    </w:p>
    <w:p w:rsidR="00680E4C" w:rsidRPr="00FE24C0" w:rsidRDefault="00444F9A" w:rsidP="006E1CFE">
      <w:pPr>
        <w:spacing w:after="0"/>
      </w:pPr>
      <w:r w:rsidRPr="00FE24C0">
        <w:t xml:space="preserve">In order to calculate the TI two methods can be used, namely: historical frequencies (“Método = Hist.”), or Normal distribution (“Método = Normal”). See Section 4.3 </w:t>
      </w:r>
      <w:r w:rsidR="008745B6">
        <w:t xml:space="preserve">of this Annex </w:t>
      </w:r>
      <w:r w:rsidRPr="00FE24C0">
        <w:t xml:space="preserve">for further details. If historical distribution is chosen, the percentile of the historical data </w:t>
      </w:r>
      <w:r w:rsidR="008745B6">
        <w:t xml:space="preserve">in Table A2.11 </w:t>
      </w:r>
      <w:r w:rsidRPr="00FE24C0">
        <w:t>is looked for, so the Trigger Index is:</w:t>
      </w:r>
    </w:p>
    <w:p w:rsidR="00680E4C" w:rsidRPr="00FE24C0" w:rsidRDefault="00680E4C" w:rsidP="008745B6">
      <w:pPr>
        <w:jc w:val="center"/>
      </w:pPr>
      <w:r w:rsidRPr="00FE24C0">
        <w:rPr>
          <w:position w:val="-14"/>
        </w:rPr>
        <w:object w:dxaOrig="5120" w:dyaOrig="380">
          <v:shape id="_x0000_i1068" type="#_x0000_t75" style="width:255pt;height:18.75pt" o:ole="">
            <v:imagedata r:id="rId174" o:title=""/>
          </v:shape>
          <o:OLEObject Type="Embed" ProgID="Equation.DSMT4" ShapeID="_x0000_i1068" DrawAspect="Content" ObjectID="_1419536207" r:id="rId175"/>
        </w:object>
      </w:r>
    </w:p>
    <w:p w:rsidR="00680E4C" w:rsidRPr="00FE24C0" w:rsidRDefault="00444F9A" w:rsidP="00680E4C">
      <w:r w:rsidRPr="00FE24C0">
        <w:t>If Normal distribution is chosen (“Método = Normal”), then the Trigger Index is:</w:t>
      </w:r>
    </w:p>
    <w:p w:rsidR="00680E4C" w:rsidRPr="00FE24C0" w:rsidRDefault="00680E4C" w:rsidP="00680E4C">
      <w:pPr>
        <w:jc w:val="center"/>
      </w:pPr>
      <w:r w:rsidRPr="00FE24C0">
        <w:rPr>
          <w:position w:val="-14"/>
        </w:rPr>
        <w:object w:dxaOrig="2760" w:dyaOrig="380">
          <v:shape id="_x0000_i1069" type="#_x0000_t75" style="width:136.5pt;height:18.75pt" o:ole="">
            <v:imagedata r:id="rId176" o:title=""/>
          </v:shape>
          <o:OLEObject Type="Embed" ProgID="Equation.DSMT4" ShapeID="_x0000_i1069" DrawAspect="Content" ObjectID="_1419536208" r:id="rId177"/>
        </w:object>
      </w:r>
    </w:p>
    <w:p w:rsidR="00680E4C" w:rsidRPr="00FE24C0" w:rsidRDefault="00680E4C" w:rsidP="00680E4C">
      <w:pPr>
        <w:jc w:val="center"/>
      </w:pPr>
      <w:r w:rsidRPr="00FE24C0">
        <w:rPr>
          <w:position w:val="-12"/>
        </w:rPr>
        <w:object w:dxaOrig="5200" w:dyaOrig="340">
          <v:shape id="_x0000_i1070" type="#_x0000_t75" style="width:259.5pt;height:15.75pt" o:ole="">
            <v:imagedata r:id="rId178" o:title=""/>
          </v:shape>
          <o:OLEObject Type="Embed" ProgID="Equation.DSMT4" ShapeID="_x0000_i1070" DrawAspect="Content" ObjectID="_1419536209" r:id="rId179"/>
        </w:object>
      </w:r>
    </w:p>
    <w:p w:rsidR="00680E4C" w:rsidRPr="00FE24C0" w:rsidRDefault="00444F9A" w:rsidP="00680E4C">
      <w:proofErr w:type="gramStart"/>
      <w:r w:rsidRPr="00FE24C0">
        <w:t>where</w:t>
      </w:r>
      <w:proofErr w:type="gramEnd"/>
      <w:r w:rsidRPr="00FE24C0">
        <w:t xml:space="preserve"> </w:t>
      </w:r>
      <w:r w:rsidR="00680E4C" w:rsidRPr="00FE24C0">
        <w:rPr>
          <w:position w:val="-10"/>
        </w:rPr>
        <w:object w:dxaOrig="380" w:dyaOrig="300">
          <v:shape id="_x0000_i1071" type="#_x0000_t75" style="width:18.75pt;height:15pt" o:ole="">
            <v:imagedata r:id="rId180" o:title=""/>
          </v:shape>
          <o:OLEObject Type="Embed" ProgID="Equation.DSMT4" ShapeID="_x0000_i1071" DrawAspect="Content" ObjectID="_1419536210" r:id="rId181"/>
        </w:object>
      </w:r>
      <w:r w:rsidRPr="00FE24C0">
        <w:t xml:space="preserve"> and </w:t>
      </w:r>
      <w:r w:rsidR="00680E4C" w:rsidRPr="00FE24C0">
        <w:rPr>
          <w:position w:val="-10"/>
        </w:rPr>
        <w:object w:dxaOrig="380" w:dyaOrig="300">
          <v:shape id="_x0000_i1072" type="#_x0000_t75" style="width:18.75pt;height:15pt" o:ole="">
            <v:imagedata r:id="rId182" o:title=""/>
          </v:shape>
          <o:OLEObject Type="Embed" ProgID="Equation.DSMT4" ShapeID="_x0000_i1072" DrawAspect="Content" ObjectID="_1419536211" r:id="rId183"/>
        </w:object>
      </w:r>
      <w:r w:rsidRPr="00FE24C0">
        <w:t xml:space="preserve"> are the historical average and standard deviation, respectively, of the observed Index data in October in Cluster C22_1 of Bahia Blanca (see Table </w:t>
      </w:r>
      <w:r w:rsidR="00F35F4C" w:rsidRPr="00FE24C0">
        <w:t>A</w:t>
      </w:r>
      <w:r w:rsidR="008745B6">
        <w:t>2.</w:t>
      </w:r>
      <w:r w:rsidRPr="00FE24C0">
        <w:t xml:space="preserve">11), and </w:t>
      </w:r>
      <w:r w:rsidR="00680E4C" w:rsidRPr="00FE24C0">
        <w:rPr>
          <w:position w:val="-10"/>
        </w:rPr>
        <w:object w:dxaOrig="480" w:dyaOrig="300">
          <v:shape id="_x0000_i1073" type="#_x0000_t75" style="width:23.25pt;height:15pt" o:ole="">
            <v:imagedata r:id="rId184" o:title=""/>
          </v:shape>
          <o:OLEObject Type="Embed" ProgID="Equation.DSMT4" ShapeID="_x0000_i1073" DrawAspect="Content" ObjectID="_1419536212" r:id="rId185"/>
        </w:object>
      </w:r>
      <w:r w:rsidRPr="00FE24C0">
        <w:t xml:space="preserve"> is the value that accumulates a probability of 14.28% on a Normal Standard distribution.</w:t>
      </w:r>
    </w:p>
    <w:tbl>
      <w:tblPr>
        <w:tblStyle w:val="Tablaconcuadrcula"/>
        <w:tblW w:w="0" w:type="auto"/>
        <w:jc w:val="center"/>
        <w:tblLook w:val="04A0"/>
      </w:tblPr>
      <w:tblGrid>
        <w:gridCol w:w="5495"/>
      </w:tblGrid>
      <w:tr w:rsidR="00680E4C" w:rsidRPr="00FE24C0" w:rsidTr="00680E4C">
        <w:trPr>
          <w:jc w:val="center"/>
        </w:trPr>
        <w:tc>
          <w:tcPr>
            <w:tcW w:w="5495" w:type="dxa"/>
            <w:vAlign w:val="center"/>
          </w:tcPr>
          <w:p w:rsidR="00680E4C" w:rsidRPr="00FE24C0" w:rsidRDefault="00193F63" w:rsidP="00680E4C">
            <w:pPr>
              <w:jc w:val="center"/>
            </w:pPr>
            <w:r w:rsidRPr="00FE24C0">
              <w:rPr>
                <w:noProof/>
                <w:lang w:val="es-AR" w:eastAsia="es-AR"/>
              </w:rPr>
              <w:lastRenderedPageBreak/>
              <w:drawing>
                <wp:inline distT="0" distB="0" distL="0" distR="0">
                  <wp:extent cx="1234711" cy="4740807"/>
                  <wp:effectExtent l="19050" t="0" r="3539" b="0"/>
                  <wp:docPr id="9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cstate="print"/>
                          <a:srcRect/>
                          <a:stretch>
                            <a:fillRect/>
                          </a:stretch>
                        </pic:blipFill>
                        <pic:spPr bwMode="auto">
                          <a:xfrm>
                            <a:off x="0" y="0"/>
                            <a:ext cx="1234711" cy="4740807"/>
                          </a:xfrm>
                          <a:prstGeom prst="rect">
                            <a:avLst/>
                          </a:prstGeom>
                          <a:noFill/>
                          <a:ln w="9525">
                            <a:noFill/>
                            <a:miter lim="800000"/>
                            <a:headEnd/>
                            <a:tailEnd/>
                          </a:ln>
                        </pic:spPr>
                      </pic:pic>
                    </a:graphicData>
                  </a:graphic>
                </wp:inline>
              </w:drawing>
            </w:r>
          </w:p>
        </w:tc>
      </w:tr>
      <w:tr w:rsidR="00680E4C" w:rsidRPr="00FE24C0" w:rsidTr="00680E4C">
        <w:trPr>
          <w:jc w:val="center"/>
        </w:trPr>
        <w:tc>
          <w:tcPr>
            <w:tcW w:w="5495" w:type="dxa"/>
            <w:vAlign w:val="center"/>
          </w:tcPr>
          <w:p w:rsidR="00680E4C" w:rsidRPr="00FE24C0" w:rsidRDefault="00444F9A" w:rsidP="00843EDE">
            <w:pPr>
              <w:spacing w:after="0"/>
              <w:jc w:val="left"/>
              <w:rPr>
                <w:b/>
                <w:sz w:val="16"/>
                <w:szCs w:val="16"/>
              </w:rPr>
            </w:pPr>
            <w:r w:rsidRPr="00FE24C0">
              <w:rPr>
                <w:b/>
                <w:sz w:val="16"/>
                <w:szCs w:val="16"/>
              </w:rPr>
              <w:t xml:space="preserve">Table </w:t>
            </w:r>
            <w:r w:rsidR="00F35F4C" w:rsidRPr="00FE24C0">
              <w:rPr>
                <w:b/>
                <w:sz w:val="16"/>
                <w:szCs w:val="16"/>
              </w:rPr>
              <w:t>A</w:t>
            </w:r>
            <w:r w:rsidR="008745B6">
              <w:rPr>
                <w:b/>
                <w:sz w:val="16"/>
                <w:szCs w:val="16"/>
              </w:rPr>
              <w:t>2.</w:t>
            </w:r>
            <w:r w:rsidRPr="00FE24C0">
              <w:rPr>
                <w:b/>
                <w:sz w:val="16"/>
                <w:szCs w:val="16"/>
              </w:rPr>
              <w:t>11. Index values in October in 28 years of database for Cluster 1 in Cuartel 22 from Bahia Blanca.</w:t>
            </w:r>
          </w:p>
        </w:tc>
      </w:tr>
    </w:tbl>
    <w:p w:rsidR="00680E4C" w:rsidRPr="00FE24C0" w:rsidRDefault="00680E4C" w:rsidP="00680E4C"/>
    <w:p w:rsidR="00680E4C" w:rsidRPr="00FE24C0" w:rsidRDefault="00444F9A" w:rsidP="00680E4C">
      <w:pPr>
        <w:rPr>
          <w:b/>
          <w:u w:val="single"/>
        </w:rPr>
      </w:pPr>
      <w:r w:rsidRPr="00FE24C0">
        <w:rPr>
          <w:b/>
          <w:u w:val="single"/>
        </w:rPr>
        <w:t>October Exit Index (EI)</w:t>
      </w:r>
    </w:p>
    <w:p w:rsidR="00680E4C" w:rsidRPr="00FE24C0" w:rsidRDefault="00444F9A" w:rsidP="00843EDE">
      <w:pPr>
        <w:spacing w:after="120"/>
      </w:pPr>
      <w:r w:rsidRPr="00FE24C0">
        <w:t xml:space="preserve">The Exit Index for October is a value of the Index such that if the observed index falls below it, the </w:t>
      </w:r>
      <w:r w:rsidR="008745B6">
        <w:t xml:space="preserve">full </w:t>
      </w:r>
      <w:r w:rsidRPr="00FE24C0">
        <w:t xml:space="preserve">Sum Insured allocated to October is paid out. In order to calculate it, the parameter “deviation for Exit Index”, </w:t>
      </w:r>
      <w:proofErr w:type="gramStart"/>
      <w:r w:rsidRPr="00FE24C0">
        <w:t xml:space="preserve">called </w:t>
      </w:r>
      <w:proofErr w:type="gramEnd"/>
      <w:r w:rsidR="00680E4C" w:rsidRPr="00FE24C0">
        <w:rPr>
          <w:position w:val="-10"/>
        </w:rPr>
        <w:object w:dxaOrig="300" w:dyaOrig="300">
          <v:shape id="_x0000_i1074" type="#_x0000_t75" style="width:15pt;height:15pt" o:ole="">
            <v:imagedata r:id="rId187" o:title=""/>
          </v:shape>
          <o:OLEObject Type="Embed" ProgID="Equation.DSMT4" ShapeID="_x0000_i1074" DrawAspect="Content" ObjectID="_1419536213" r:id="rId188"/>
        </w:object>
      </w:r>
      <w:r w:rsidRPr="00FE24C0">
        <w:t xml:space="preserve">, should be set out. This parameter indicates the number of standard deviations below the Trigger in which the Exit is set: </w:t>
      </w:r>
      <w:r w:rsidR="00680E4C" w:rsidRPr="00FE24C0">
        <w:rPr>
          <w:position w:val="-10"/>
        </w:rPr>
        <w:object w:dxaOrig="1520" w:dyaOrig="300">
          <v:shape id="_x0000_i1075" type="#_x0000_t75" style="width:75pt;height:15pt" o:ole="">
            <v:imagedata r:id="rId189" o:title=""/>
          </v:shape>
          <o:OLEObject Type="Embed" ProgID="Equation.DSMT4" ShapeID="_x0000_i1075" DrawAspect="Content" ObjectID="_1419536214" r:id="rId190"/>
        </w:object>
      </w:r>
      <w:r w:rsidRPr="00FE24C0">
        <w:t xml:space="preserve"> (see Section</w:t>
      </w:r>
      <w:r w:rsidR="008745B6">
        <w:t>s</w:t>
      </w:r>
      <w:r w:rsidRPr="00FE24C0">
        <w:t xml:space="preserve"> 3.4 and 4.3</w:t>
      </w:r>
      <w:r w:rsidR="008745B6">
        <w:t xml:space="preserve"> of this Annex</w:t>
      </w:r>
      <w:r w:rsidRPr="00FE24C0">
        <w:t xml:space="preserve">). Considering data under analysis in the example so far, and by </w:t>
      </w:r>
      <w:proofErr w:type="gramStart"/>
      <w:r w:rsidRPr="00FE24C0">
        <w:t xml:space="preserve">setting </w:t>
      </w:r>
      <w:proofErr w:type="gramEnd"/>
      <w:r w:rsidR="00680E4C" w:rsidRPr="00FE24C0">
        <w:rPr>
          <w:position w:val="-10"/>
        </w:rPr>
        <w:object w:dxaOrig="600" w:dyaOrig="300">
          <v:shape id="_x0000_i1076" type="#_x0000_t75" style="width:30pt;height:15pt" o:ole="">
            <v:imagedata r:id="rId191" o:title=""/>
          </v:shape>
          <o:OLEObject Type="Embed" ProgID="Equation.DSMT4" ShapeID="_x0000_i1076" DrawAspect="Content" ObjectID="_1419536215" r:id="rId192"/>
        </w:object>
      </w:r>
      <w:r w:rsidRPr="00FE24C0">
        <w:t xml:space="preserve">, the </w:t>
      </w:r>
      <w:r w:rsidRPr="00536C63">
        <w:t xml:space="preserve">Exit </w:t>
      </w:r>
      <w:r w:rsidR="007C1E50" w:rsidRPr="00536C63">
        <w:t>Indexes</w:t>
      </w:r>
      <w:r w:rsidRPr="00536C63">
        <w:t xml:space="preserve"> using</w:t>
      </w:r>
      <w:r w:rsidRPr="00FE24C0">
        <w:t xml:space="preserve"> both methods for calculating the Trigger (historical and Normal) </w:t>
      </w:r>
      <w:r w:rsidR="008745B6">
        <w:t>are</w:t>
      </w:r>
      <w:r w:rsidRPr="00FE24C0">
        <w:t>:</w:t>
      </w:r>
    </w:p>
    <w:p w:rsidR="00680E4C" w:rsidRPr="00FE24C0" w:rsidRDefault="00680E4C" w:rsidP="00680E4C">
      <w:pPr>
        <w:jc w:val="center"/>
      </w:pPr>
      <w:r w:rsidRPr="00FE24C0">
        <w:rPr>
          <w:position w:val="-10"/>
        </w:rPr>
        <w:object w:dxaOrig="4840" w:dyaOrig="320">
          <v:shape id="_x0000_i1077" type="#_x0000_t75" style="width:242.25pt;height:15.75pt" o:ole="">
            <v:imagedata r:id="rId193" o:title=""/>
          </v:shape>
          <o:OLEObject Type="Embed" ProgID="Equation.DSMT4" ShapeID="_x0000_i1077" DrawAspect="Content" ObjectID="_1419536216" r:id="rId194"/>
        </w:object>
      </w:r>
    </w:p>
    <w:p w:rsidR="00680E4C" w:rsidRPr="00FE24C0" w:rsidRDefault="00680E4C" w:rsidP="00680E4C">
      <w:pPr>
        <w:jc w:val="center"/>
      </w:pPr>
      <w:r w:rsidRPr="00FE24C0">
        <w:rPr>
          <w:position w:val="-10"/>
        </w:rPr>
        <w:object w:dxaOrig="4660" w:dyaOrig="320">
          <v:shape id="_x0000_i1078" type="#_x0000_t75" style="width:234pt;height:15.75pt" o:ole="">
            <v:imagedata r:id="rId195" o:title=""/>
          </v:shape>
          <o:OLEObject Type="Embed" ProgID="Equation.DSMT4" ShapeID="_x0000_i1078" DrawAspect="Content" ObjectID="_1419536217" r:id="rId196"/>
        </w:object>
      </w:r>
    </w:p>
    <w:p w:rsidR="00680E4C" w:rsidRPr="00FE24C0" w:rsidRDefault="00680E4C" w:rsidP="00680E4C">
      <w:pPr>
        <w:jc w:val="center"/>
      </w:pPr>
    </w:p>
    <w:p w:rsidR="00680E4C" w:rsidRPr="00FE24C0" w:rsidRDefault="00444F9A" w:rsidP="00680E4C">
      <w:pPr>
        <w:rPr>
          <w:b/>
          <w:u w:val="single"/>
        </w:rPr>
      </w:pPr>
      <w:r w:rsidRPr="00FE24C0">
        <w:rPr>
          <w:b/>
          <w:u w:val="single"/>
        </w:rPr>
        <w:lastRenderedPageBreak/>
        <w:t>Trigger Index and Exit Index for all the months in cover period</w:t>
      </w:r>
    </w:p>
    <w:p w:rsidR="00680E4C" w:rsidRPr="00FE24C0" w:rsidRDefault="00444F9A" w:rsidP="006E1CFE">
      <w:pPr>
        <w:spacing w:after="0"/>
      </w:pPr>
      <w:r w:rsidRPr="00FE24C0">
        <w:t xml:space="preserve">In Table </w:t>
      </w:r>
      <w:r w:rsidR="00F35F4C" w:rsidRPr="00FE24C0">
        <w:t>A</w:t>
      </w:r>
      <w:r w:rsidR="008745B6">
        <w:t>2.</w:t>
      </w:r>
      <w:r w:rsidRPr="00FE24C0">
        <w:t>12 is shown the values of Triggers and Exits for each one of the month</w:t>
      </w:r>
      <w:r w:rsidR="00E22AB3">
        <w:t>s</w:t>
      </w:r>
      <w:r w:rsidRPr="00FE24C0">
        <w:t xml:space="preserve"> </w:t>
      </w:r>
      <w:r w:rsidR="00E22AB3">
        <w:t xml:space="preserve">in </w:t>
      </w:r>
      <w:r w:rsidRPr="00FE24C0">
        <w:t>the cover period, and by using both methods for Trigger calculation (historical and Normal). Note that the values in October are the calculated previously.</w:t>
      </w:r>
    </w:p>
    <w:tbl>
      <w:tblPr>
        <w:tblStyle w:val="Tablaconcuadrcula"/>
        <w:tblW w:w="0" w:type="auto"/>
        <w:jc w:val="center"/>
        <w:tblInd w:w="675" w:type="dxa"/>
        <w:tblLook w:val="04A0"/>
      </w:tblPr>
      <w:tblGrid>
        <w:gridCol w:w="8181"/>
      </w:tblGrid>
      <w:tr w:rsidR="00680E4C" w:rsidRPr="00FE24C0" w:rsidTr="00680E4C">
        <w:trPr>
          <w:jc w:val="center"/>
        </w:trPr>
        <w:tc>
          <w:tcPr>
            <w:tcW w:w="8222" w:type="dxa"/>
            <w:vAlign w:val="center"/>
          </w:tcPr>
          <w:p w:rsidR="00680E4C" w:rsidRPr="00FE24C0" w:rsidRDefault="00680E4C" w:rsidP="00680E4C">
            <w:pPr>
              <w:jc w:val="center"/>
            </w:pPr>
            <w:r w:rsidRPr="00FE24C0">
              <w:rPr>
                <w:noProof/>
                <w:lang w:val="es-AR" w:eastAsia="es-AR"/>
              </w:rPr>
              <w:drawing>
                <wp:inline distT="0" distB="0" distL="0" distR="0">
                  <wp:extent cx="4877869" cy="472556"/>
                  <wp:effectExtent l="19050" t="0" r="0" b="0"/>
                  <wp:docPr id="94"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7" cstate="print"/>
                          <a:srcRect/>
                          <a:stretch>
                            <a:fillRect/>
                          </a:stretch>
                        </pic:blipFill>
                        <pic:spPr bwMode="auto">
                          <a:xfrm>
                            <a:off x="0" y="0"/>
                            <a:ext cx="4877869" cy="472556"/>
                          </a:xfrm>
                          <a:prstGeom prst="rect">
                            <a:avLst/>
                          </a:prstGeom>
                          <a:noFill/>
                          <a:ln w="9525">
                            <a:noFill/>
                            <a:miter lim="800000"/>
                            <a:headEnd/>
                            <a:tailEnd/>
                          </a:ln>
                        </pic:spPr>
                      </pic:pic>
                    </a:graphicData>
                  </a:graphic>
                </wp:inline>
              </w:drawing>
            </w:r>
          </w:p>
          <w:p w:rsidR="00680E4C" w:rsidRPr="00FE24C0" w:rsidRDefault="00680E4C" w:rsidP="00680E4C">
            <w:pPr>
              <w:jc w:val="center"/>
            </w:pPr>
            <w:r w:rsidRPr="00FE24C0">
              <w:rPr>
                <w:noProof/>
                <w:lang w:val="es-AR" w:eastAsia="es-AR"/>
              </w:rPr>
              <w:drawing>
                <wp:inline distT="0" distB="0" distL="0" distR="0">
                  <wp:extent cx="4877869" cy="472556"/>
                  <wp:effectExtent l="19050" t="0" r="0" b="0"/>
                  <wp:docPr id="9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8" cstate="print"/>
                          <a:srcRect/>
                          <a:stretch>
                            <a:fillRect/>
                          </a:stretch>
                        </pic:blipFill>
                        <pic:spPr bwMode="auto">
                          <a:xfrm>
                            <a:off x="0" y="0"/>
                            <a:ext cx="4877869" cy="472556"/>
                          </a:xfrm>
                          <a:prstGeom prst="rect">
                            <a:avLst/>
                          </a:prstGeom>
                          <a:noFill/>
                          <a:ln w="9525">
                            <a:noFill/>
                            <a:miter lim="800000"/>
                            <a:headEnd/>
                            <a:tailEnd/>
                          </a:ln>
                        </pic:spPr>
                      </pic:pic>
                    </a:graphicData>
                  </a:graphic>
                </wp:inline>
              </w:drawing>
            </w:r>
          </w:p>
        </w:tc>
      </w:tr>
      <w:tr w:rsidR="00680E4C" w:rsidRPr="00FE24C0" w:rsidTr="00680E4C">
        <w:trPr>
          <w:jc w:val="center"/>
        </w:trPr>
        <w:tc>
          <w:tcPr>
            <w:tcW w:w="8222" w:type="dxa"/>
          </w:tcPr>
          <w:p w:rsidR="00680E4C" w:rsidRPr="00FE24C0" w:rsidRDefault="00444F9A" w:rsidP="00680E4C">
            <w:r w:rsidRPr="00FE24C0">
              <w:rPr>
                <w:b/>
                <w:sz w:val="16"/>
                <w:szCs w:val="16"/>
              </w:rPr>
              <w:t xml:space="preserve">Table </w:t>
            </w:r>
            <w:r w:rsidR="00F35F4C" w:rsidRPr="00FE24C0">
              <w:rPr>
                <w:b/>
                <w:sz w:val="16"/>
                <w:szCs w:val="16"/>
              </w:rPr>
              <w:t>A</w:t>
            </w:r>
            <w:r w:rsidR="008745B6">
              <w:rPr>
                <w:b/>
                <w:sz w:val="16"/>
                <w:szCs w:val="16"/>
              </w:rPr>
              <w:t>2.</w:t>
            </w:r>
            <w:r w:rsidRPr="00FE24C0">
              <w:rPr>
                <w:b/>
                <w:sz w:val="16"/>
                <w:szCs w:val="16"/>
              </w:rPr>
              <w:t>12. Trigger and Exit for months in cover period. Cuartel 22 (using data from HRZ Nº 1), Bahia Blanca</w:t>
            </w:r>
            <w:r w:rsidRPr="00FE24C0">
              <w:rPr>
                <w:i/>
                <w:sz w:val="16"/>
                <w:szCs w:val="16"/>
              </w:rPr>
              <w:t>.</w:t>
            </w:r>
          </w:p>
        </w:tc>
      </w:tr>
    </w:tbl>
    <w:p w:rsidR="00680E4C" w:rsidRPr="00FE24C0" w:rsidRDefault="00680E4C" w:rsidP="00680E4C"/>
    <w:p w:rsidR="00680E4C" w:rsidRPr="00FE24C0" w:rsidRDefault="00E22AB3" w:rsidP="006E1CFE">
      <w:pPr>
        <w:pStyle w:val="Ttulo2"/>
        <w:keepLines w:val="0"/>
        <w:numPr>
          <w:ilvl w:val="1"/>
          <w:numId w:val="0"/>
        </w:numPr>
        <w:tabs>
          <w:tab w:val="num" w:pos="576"/>
        </w:tabs>
        <w:spacing w:before="0" w:after="0"/>
        <w:ind w:left="576" w:hanging="576"/>
      </w:pPr>
      <w:bookmarkStart w:id="73" w:name="_Toc337309996"/>
      <w:r>
        <w:t xml:space="preserve">5.3. </w:t>
      </w:r>
      <w:r w:rsidR="00680E4C" w:rsidRPr="00FE24C0">
        <w:t>Total Sum Insured calculation and allocation along the month</w:t>
      </w:r>
      <w:r>
        <w:t>s</w:t>
      </w:r>
      <w:r w:rsidR="00680E4C" w:rsidRPr="00FE24C0">
        <w:t xml:space="preserve"> in covered period</w:t>
      </w:r>
      <w:bookmarkEnd w:id="73"/>
    </w:p>
    <w:p w:rsidR="006E1CFE" w:rsidRPr="00FE24C0" w:rsidRDefault="006E1CFE" w:rsidP="006E1CFE">
      <w:pPr>
        <w:spacing w:after="0"/>
      </w:pPr>
    </w:p>
    <w:p w:rsidR="00680E4C" w:rsidRPr="00FE24C0" w:rsidRDefault="00444F9A" w:rsidP="00680E4C">
      <w:r w:rsidRPr="00FE24C0">
        <w:t xml:space="preserve">In Table </w:t>
      </w:r>
      <w:r w:rsidR="00F35F4C" w:rsidRPr="00FE24C0">
        <w:t>A</w:t>
      </w:r>
      <w:r w:rsidR="00E22AB3">
        <w:t>2.</w:t>
      </w:r>
      <w:r w:rsidRPr="00FE24C0">
        <w:t>13 is shown the Nutritional Requirements, expressed in Cow Equivalents (E.V.), for each month of the year, as well as the proposed percentage of feeding to be covered by the insurance.</w:t>
      </w:r>
    </w:p>
    <w:tbl>
      <w:tblPr>
        <w:tblStyle w:val="Tablaconcuadrcula"/>
        <w:tblW w:w="0" w:type="auto"/>
        <w:tblLook w:val="04A0"/>
      </w:tblPr>
      <w:tblGrid>
        <w:gridCol w:w="8856"/>
      </w:tblGrid>
      <w:tr w:rsidR="00680E4C" w:rsidRPr="00FE24C0" w:rsidTr="00680E4C">
        <w:tc>
          <w:tcPr>
            <w:tcW w:w="9778" w:type="dxa"/>
          </w:tcPr>
          <w:p w:rsidR="00680E4C" w:rsidRPr="00FE24C0" w:rsidRDefault="00193F63" w:rsidP="00680E4C">
            <w:r w:rsidRPr="00FE24C0">
              <w:rPr>
                <w:noProof/>
                <w:lang w:val="es-AR" w:eastAsia="es-AR"/>
              </w:rPr>
              <w:drawing>
                <wp:inline distT="0" distB="0" distL="0" distR="0">
                  <wp:extent cx="6120130" cy="671349"/>
                  <wp:effectExtent l="19050" t="0" r="0" b="0"/>
                  <wp:docPr id="12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9" cstate="print"/>
                          <a:srcRect/>
                          <a:stretch>
                            <a:fillRect/>
                          </a:stretch>
                        </pic:blipFill>
                        <pic:spPr bwMode="auto">
                          <a:xfrm>
                            <a:off x="0" y="0"/>
                            <a:ext cx="6120130" cy="671349"/>
                          </a:xfrm>
                          <a:prstGeom prst="rect">
                            <a:avLst/>
                          </a:prstGeom>
                          <a:noFill/>
                          <a:ln w="9525">
                            <a:noFill/>
                            <a:miter lim="800000"/>
                            <a:headEnd/>
                            <a:tailEnd/>
                          </a:ln>
                        </pic:spPr>
                      </pic:pic>
                    </a:graphicData>
                  </a:graphic>
                </wp:inline>
              </w:drawing>
            </w:r>
          </w:p>
        </w:tc>
      </w:tr>
      <w:tr w:rsidR="00680E4C" w:rsidRPr="00FE24C0" w:rsidTr="00680E4C">
        <w:tc>
          <w:tcPr>
            <w:tcW w:w="9778" w:type="dxa"/>
          </w:tcPr>
          <w:p w:rsidR="00680E4C" w:rsidRPr="00FE24C0" w:rsidRDefault="00444F9A" w:rsidP="00680E4C">
            <w:r w:rsidRPr="00FE24C0">
              <w:rPr>
                <w:b/>
                <w:sz w:val="16"/>
                <w:szCs w:val="16"/>
              </w:rPr>
              <w:t xml:space="preserve">Table </w:t>
            </w:r>
            <w:r w:rsidR="00F35F4C" w:rsidRPr="00FE24C0">
              <w:rPr>
                <w:b/>
                <w:sz w:val="16"/>
                <w:szCs w:val="16"/>
              </w:rPr>
              <w:t>A</w:t>
            </w:r>
            <w:r w:rsidR="00E22AB3">
              <w:rPr>
                <w:b/>
                <w:sz w:val="16"/>
                <w:szCs w:val="16"/>
              </w:rPr>
              <w:t>2.</w:t>
            </w:r>
            <w:r w:rsidRPr="00FE24C0">
              <w:rPr>
                <w:b/>
                <w:sz w:val="16"/>
                <w:szCs w:val="16"/>
              </w:rPr>
              <w:t xml:space="preserve">13. Nutritional Requirements and percentage of feeding covered in each animal category insurable. </w:t>
            </w:r>
          </w:p>
        </w:tc>
      </w:tr>
    </w:tbl>
    <w:p w:rsidR="00843EDE" w:rsidRDefault="00843EDE" w:rsidP="00680E4C"/>
    <w:p w:rsidR="00680E4C" w:rsidRPr="00FE24C0" w:rsidRDefault="00444F9A" w:rsidP="00680E4C">
      <w:r w:rsidRPr="00FE24C0">
        <w:t xml:space="preserve">One metric ton of corn could be used to feed the daily Nutritional Requirements of 170 Cow Equivalents (E.V.). Assuming a price of AR$ 600 per ton, the daily feeding cost is AR$ 3.53 per E.V. Therefore, considering coverage of the 50%, the Sum Insured would be approximately AR$ 1.76 per E.V. per day in the cover period. In Table </w:t>
      </w:r>
      <w:r w:rsidR="00F35F4C" w:rsidRPr="00FE24C0">
        <w:t>A</w:t>
      </w:r>
      <w:r w:rsidR="00E22AB3">
        <w:t>2.</w:t>
      </w:r>
      <w:r w:rsidRPr="00FE24C0">
        <w:t>14 is shown the Total Sum Insured and its allocation to each month in cover period, according to assumptions made so far (see Section</w:t>
      </w:r>
      <w:r w:rsidR="00E22AB3">
        <w:t>s</w:t>
      </w:r>
      <w:r w:rsidRPr="00FE24C0">
        <w:t xml:space="preserve"> 3.8 and 4.3</w:t>
      </w:r>
      <w:r w:rsidR="00E22AB3">
        <w:t xml:space="preserve"> of this </w:t>
      </w:r>
      <w:proofErr w:type="gramStart"/>
      <w:r w:rsidR="00E22AB3">
        <w:t>Annex</w:t>
      </w:r>
      <w:proofErr w:type="gramEnd"/>
      <w:r w:rsidRPr="00FE24C0">
        <w:t>).</w:t>
      </w:r>
    </w:p>
    <w:tbl>
      <w:tblPr>
        <w:tblStyle w:val="Tablaconcuadrcula"/>
        <w:tblW w:w="0" w:type="auto"/>
        <w:jc w:val="center"/>
        <w:tblLook w:val="04A0"/>
      </w:tblPr>
      <w:tblGrid>
        <w:gridCol w:w="8856"/>
      </w:tblGrid>
      <w:tr w:rsidR="00680E4C" w:rsidRPr="00FE24C0" w:rsidTr="00680E4C">
        <w:trPr>
          <w:jc w:val="center"/>
        </w:trPr>
        <w:tc>
          <w:tcPr>
            <w:tcW w:w="8897" w:type="dxa"/>
          </w:tcPr>
          <w:p w:rsidR="00680E4C" w:rsidRPr="00FE24C0" w:rsidRDefault="00193F63" w:rsidP="00680E4C">
            <w:r w:rsidRPr="00FE24C0">
              <w:rPr>
                <w:noProof/>
                <w:lang w:val="es-AR" w:eastAsia="es-AR"/>
              </w:rPr>
              <w:drawing>
                <wp:inline distT="0" distB="0" distL="0" distR="0">
                  <wp:extent cx="5419643" cy="644438"/>
                  <wp:effectExtent l="19050" t="0" r="0" b="0"/>
                  <wp:docPr id="12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 cstate="print"/>
                          <a:srcRect/>
                          <a:stretch>
                            <a:fillRect/>
                          </a:stretch>
                        </pic:blipFill>
                        <pic:spPr bwMode="auto">
                          <a:xfrm>
                            <a:off x="0" y="0"/>
                            <a:ext cx="5420328" cy="644519"/>
                          </a:xfrm>
                          <a:prstGeom prst="rect">
                            <a:avLst/>
                          </a:prstGeom>
                          <a:noFill/>
                          <a:ln w="9525">
                            <a:noFill/>
                            <a:miter lim="800000"/>
                            <a:headEnd/>
                            <a:tailEnd/>
                          </a:ln>
                        </pic:spPr>
                      </pic:pic>
                    </a:graphicData>
                  </a:graphic>
                </wp:inline>
              </w:drawing>
            </w:r>
          </w:p>
        </w:tc>
      </w:tr>
      <w:tr w:rsidR="00680E4C" w:rsidRPr="00FE24C0" w:rsidTr="00680E4C">
        <w:trPr>
          <w:jc w:val="center"/>
        </w:trPr>
        <w:tc>
          <w:tcPr>
            <w:tcW w:w="8897" w:type="dxa"/>
          </w:tcPr>
          <w:p w:rsidR="00680E4C" w:rsidRPr="00FE24C0" w:rsidRDefault="00444F9A" w:rsidP="00680E4C">
            <w:r w:rsidRPr="00FE24C0">
              <w:rPr>
                <w:b/>
                <w:sz w:val="16"/>
                <w:szCs w:val="16"/>
              </w:rPr>
              <w:t xml:space="preserve">Table </w:t>
            </w:r>
            <w:r w:rsidR="00F35F4C" w:rsidRPr="00FE24C0">
              <w:rPr>
                <w:b/>
                <w:sz w:val="16"/>
                <w:szCs w:val="16"/>
              </w:rPr>
              <w:t>A</w:t>
            </w:r>
            <w:r w:rsidR="00E22AB3">
              <w:rPr>
                <w:b/>
                <w:sz w:val="16"/>
                <w:szCs w:val="16"/>
              </w:rPr>
              <w:t>2.</w:t>
            </w:r>
            <w:r w:rsidRPr="00FE24C0">
              <w:rPr>
                <w:b/>
                <w:sz w:val="16"/>
                <w:szCs w:val="16"/>
              </w:rPr>
              <w:t>14. Sum Insured per insurable animal and monthly allocation.</w:t>
            </w:r>
          </w:p>
        </w:tc>
      </w:tr>
    </w:tbl>
    <w:p w:rsidR="00680E4C" w:rsidRPr="00FE24C0" w:rsidRDefault="00680E4C" w:rsidP="00680E4C"/>
    <w:p w:rsidR="00680E4C" w:rsidRPr="00FE24C0" w:rsidRDefault="00444F9A" w:rsidP="00680E4C">
      <w:r w:rsidRPr="00FE24C0">
        <w:t xml:space="preserve">In Bahia Blanca there </w:t>
      </w:r>
      <w:r w:rsidR="00E22AB3">
        <w:t xml:space="preserve">were </w:t>
      </w:r>
      <w:r w:rsidRPr="00FE24C0">
        <w:t xml:space="preserve">22,913 cows and 14,497 heifers </w:t>
      </w:r>
      <w:r w:rsidR="00E22AB3" w:rsidRPr="00FE24C0">
        <w:t xml:space="preserve">registered </w:t>
      </w:r>
      <w:r w:rsidRPr="00FE24C0">
        <w:t>in the “Pixels Considered” (see Section 3.1</w:t>
      </w:r>
      <w:r w:rsidR="00E22AB3">
        <w:t xml:space="preserve"> of this Annex</w:t>
      </w:r>
      <w:r w:rsidRPr="00FE24C0">
        <w:t xml:space="preserve">), </w:t>
      </w:r>
      <w:r w:rsidR="000D537D">
        <w:t>and</w:t>
      </w:r>
      <w:r w:rsidRPr="00FE24C0">
        <w:t xml:space="preserve"> the </w:t>
      </w:r>
      <w:r w:rsidR="000D537D">
        <w:t xml:space="preserve">estimated </w:t>
      </w:r>
      <w:r w:rsidRPr="00FE24C0">
        <w:t>Total Sum Insured</w:t>
      </w:r>
      <w:r w:rsidR="000D537D">
        <w:t xml:space="preserve"> (TSI)</w:t>
      </w:r>
      <w:r w:rsidRPr="00FE24C0">
        <w:t xml:space="preserve"> for the whole </w:t>
      </w:r>
      <w:r w:rsidR="00E22AB3">
        <w:t xml:space="preserve">Department </w:t>
      </w:r>
      <w:r w:rsidRPr="00FE24C0">
        <w:t xml:space="preserve">amounts </w:t>
      </w:r>
      <w:r w:rsidR="000D537D">
        <w:t xml:space="preserve">to </w:t>
      </w:r>
      <w:r w:rsidRPr="00FE24C0">
        <w:t xml:space="preserve">AR$ 11,509,123. Table </w:t>
      </w:r>
      <w:r w:rsidR="00F35F4C" w:rsidRPr="00FE24C0">
        <w:t>A</w:t>
      </w:r>
      <w:r w:rsidR="00E22AB3">
        <w:t>2.</w:t>
      </w:r>
      <w:r w:rsidRPr="00FE24C0">
        <w:t>15 illustrates the allocation of th</w:t>
      </w:r>
      <w:r w:rsidR="000D537D">
        <w:t>e TSI</w:t>
      </w:r>
      <w:r w:rsidRPr="00FE24C0">
        <w:t xml:space="preserve"> in each</w:t>
      </w:r>
      <w:r w:rsidR="000D537D">
        <w:t xml:space="preserve"> </w:t>
      </w:r>
      <w:r w:rsidRPr="00FE24C0">
        <w:t xml:space="preserve">of the months in the </w:t>
      </w:r>
      <w:r w:rsidR="000D537D">
        <w:t xml:space="preserve">6-month </w:t>
      </w:r>
      <w:r w:rsidRPr="00FE24C0">
        <w:t>cover period.</w:t>
      </w:r>
    </w:p>
    <w:tbl>
      <w:tblPr>
        <w:tblStyle w:val="Tablaconcuadrcula"/>
        <w:tblW w:w="0" w:type="auto"/>
        <w:jc w:val="center"/>
        <w:tblLook w:val="04A0"/>
      </w:tblPr>
      <w:tblGrid>
        <w:gridCol w:w="8856"/>
      </w:tblGrid>
      <w:tr w:rsidR="00680E4C" w:rsidRPr="00FE24C0" w:rsidTr="00680E4C">
        <w:trPr>
          <w:jc w:val="center"/>
        </w:trPr>
        <w:tc>
          <w:tcPr>
            <w:tcW w:w="8897" w:type="dxa"/>
          </w:tcPr>
          <w:p w:rsidR="00680E4C" w:rsidRPr="00FE24C0" w:rsidRDefault="00193F63" w:rsidP="00680E4C">
            <w:r w:rsidRPr="00FE24C0">
              <w:rPr>
                <w:noProof/>
                <w:lang w:val="es-AR" w:eastAsia="es-AR"/>
              </w:rPr>
              <w:lastRenderedPageBreak/>
              <w:drawing>
                <wp:inline distT="0" distB="0" distL="0" distR="0">
                  <wp:extent cx="5475302" cy="782270"/>
                  <wp:effectExtent l="19050" t="0" r="0" b="0"/>
                  <wp:docPr id="12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1" cstate="print"/>
                          <a:srcRect/>
                          <a:stretch>
                            <a:fillRect/>
                          </a:stretch>
                        </pic:blipFill>
                        <pic:spPr bwMode="auto">
                          <a:xfrm>
                            <a:off x="0" y="0"/>
                            <a:ext cx="5477435" cy="782575"/>
                          </a:xfrm>
                          <a:prstGeom prst="rect">
                            <a:avLst/>
                          </a:prstGeom>
                          <a:noFill/>
                          <a:ln w="9525">
                            <a:noFill/>
                            <a:miter lim="800000"/>
                            <a:headEnd/>
                            <a:tailEnd/>
                          </a:ln>
                        </pic:spPr>
                      </pic:pic>
                    </a:graphicData>
                  </a:graphic>
                </wp:inline>
              </w:drawing>
            </w:r>
          </w:p>
        </w:tc>
      </w:tr>
      <w:tr w:rsidR="00680E4C" w:rsidRPr="00FE24C0" w:rsidTr="00680E4C">
        <w:trPr>
          <w:jc w:val="center"/>
        </w:trPr>
        <w:tc>
          <w:tcPr>
            <w:tcW w:w="8897" w:type="dxa"/>
          </w:tcPr>
          <w:p w:rsidR="00680E4C" w:rsidRPr="00FE24C0" w:rsidRDefault="00444F9A" w:rsidP="00680E4C">
            <w:r w:rsidRPr="00FE24C0">
              <w:rPr>
                <w:b/>
                <w:sz w:val="16"/>
                <w:szCs w:val="16"/>
              </w:rPr>
              <w:t xml:space="preserve">Table </w:t>
            </w:r>
            <w:r w:rsidR="00F35F4C" w:rsidRPr="00FE24C0">
              <w:rPr>
                <w:b/>
                <w:sz w:val="16"/>
                <w:szCs w:val="16"/>
              </w:rPr>
              <w:t>A</w:t>
            </w:r>
            <w:r w:rsidR="00E22AB3">
              <w:rPr>
                <w:b/>
                <w:sz w:val="16"/>
                <w:szCs w:val="16"/>
              </w:rPr>
              <w:t>2.</w:t>
            </w:r>
            <w:r w:rsidRPr="00FE24C0">
              <w:rPr>
                <w:b/>
                <w:sz w:val="16"/>
                <w:szCs w:val="16"/>
              </w:rPr>
              <w:t>15. Allocation per month of Total Sum Insured in Bahia Blanca</w:t>
            </w:r>
            <w:r w:rsidRPr="00FE24C0">
              <w:rPr>
                <w:sz w:val="16"/>
                <w:szCs w:val="16"/>
              </w:rPr>
              <w:t>.</w:t>
            </w:r>
          </w:p>
        </w:tc>
      </w:tr>
    </w:tbl>
    <w:p w:rsidR="00E43164" w:rsidRDefault="00E43164">
      <w:pPr>
        <w:pStyle w:val="Encabezado"/>
        <w:tabs>
          <w:tab w:val="clear" w:pos="4320"/>
          <w:tab w:val="clear" w:pos="8640"/>
        </w:tabs>
        <w:spacing w:after="0"/>
      </w:pPr>
    </w:p>
    <w:p w:rsidR="00680E4C" w:rsidRPr="00FE24C0" w:rsidRDefault="00444F9A" w:rsidP="006E1CFE">
      <w:pPr>
        <w:spacing w:after="0"/>
      </w:pPr>
      <w:r w:rsidRPr="00FE24C0">
        <w:t xml:space="preserve">Note that monthly allocation of Sum Insured in each cluster would be different according to the cattle composition (number of cows and heifers). However, to keep the model simple, in all the Cuartels was used the same monthly allocation as in the whole </w:t>
      </w:r>
      <w:r w:rsidR="00874470">
        <w:t>Department</w:t>
      </w:r>
      <w:r w:rsidRPr="00FE24C0">
        <w:t xml:space="preserve">. Therefore, in all the Cuartels in Bahia Blanca there have been used the percentage monthly allocation shown in Table </w:t>
      </w:r>
      <w:r w:rsidR="00F35F4C" w:rsidRPr="00FE24C0">
        <w:t>A</w:t>
      </w:r>
      <w:r w:rsidR="00874470">
        <w:t>2.</w:t>
      </w:r>
      <w:r w:rsidRPr="00FE24C0">
        <w:t>15, no matter the cattle composition in each Cuartel.</w:t>
      </w:r>
    </w:p>
    <w:p w:rsidR="006E1CFE" w:rsidRPr="00FE24C0" w:rsidRDefault="006E1CFE" w:rsidP="006E1CFE">
      <w:pPr>
        <w:spacing w:after="0"/>
      </w:pPr>
    </w:p>
    <w:p w:rsidR="00680E4C" w:rsidRPr="00FE24C0" w:rsidRDefault="00444F9A" w:rsidP="006E1CFE">
      <w:pPr>
        <w:spacing w:after="0"/>
      </w:pPr>
      <w:r w:rsidRPr="00FE24C0">
        <w:t>Particularly, in Cuartel 22 there are 1,569 cows, and 1,927 heifers in the “Pixels Considered” (see Section 3.1</w:t>
      </w:r>
      <w:r w:rsidR="00874470">
        <w:t xml:space="preserve"> of this Annex</w:t>
      </w:r>
      <w:r w:rsidRPr="00FE24C0">
        <w:t xml:space="preserve">), and therefore the Total Sum Insured amounts AR$ 1,032,499. The allocation of this amount to each month in the cover period is shown in Table </w:t>
      </w:r>
      <w:r w:rsidR="00F35F4C" w:rsidRPr="00FE24C0">
        <w:t>A</w:t>
      </w:r>
      <w:r w:rsidR="00874470">
        <w:t>2.</w:t>
      </w:r>
      <w:r w:rsidRPr="00FE24C0">
        <w:t xml:space="preserve">16 below, which has been built using the percentage allocation of Table </w:t>
      </w:r>
      <w:r w:rsidR="00F35F4C" w:rsidRPr="00FE24C0">
        <w:t>A</w:t>
      </w:r>
      <w:r w:rsidR="00874470">
        <w:t>2.</w:t>
      </w:r>
      <w:r w:rsidRPr="00FE24C0">
        <w:t>15.</w:t>
      </w:r>
    </w:p>
    <w:p w:rsidR="00680E4C" w:rsidRPr="00FE24C0" w:rsidRDefault="00680E4C" w:rsidP="00680E4C"/>
    <w:tbl>
      <w:tblPr>
        <w:tblStyle w:val="Tablaconcuadrcula"/>
        <w:tblW w:w="0" w:type="auto"/>
        <w:jc w:val="center"/>
        <w:tblLook w:val="04A0"/>
      </w:tblPr>
      <w:tblGrid>
        <w:gridCol w:w="8796"/>
      </w:tblGrid>
      <w:tr w:rsidR="00680E4C" w:rsidRPr="00FE24C0" w:rsidTr="00FE24C0">
        <w:trPr>
          <w:trHeight w:val="812"/>
          <w:jc w:val="center"/>
        </w:trPr>
        <w:tc>
          <w:tcPr>
            <w:tcW w:w="8543" w:type="dxa"/>
            <w:vAlign w:val="center"/>
          </w:tcPr>
          <w:p w:rsidR="00680E4C" w:rsidRPr="00FE24C0" w:rsidRDefault="00193F63" w:rsidP="00680E4C">
            <w:pPr>
              <w:jc w:val="center"/>
            </w:pPr>
            <w:r w:rsidRPr="00FE24C0">
              <w:rPr>
                <w:noProof/>
                <w:lang w:val="es-AR" w:eastAsia="es-AR"/>
              </w:rPr>
              <w:drawing>
                <wp:inline distT="0" distB="0" distL="0" distR="0">
                  <wp:extent cx="5424819" cy="393206"/>
                  <wp:effectExtent l="19050" t="0" r="4431" b="0"/>
                  <wp:docPr id="12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2" cstate="print"/>
                          <a:srcRect/>
                          <a:stretch>
                            <a:fillRect/>
                          </a:stretch>
                        </pic:blipFill>
                        <pic:spPr bwMode="auto">
                          <a:xfrm>
                            <a:off x="0" y="0"/>
                            <a:ext cx="5464013" cy="396047"/>
                          </a:xfrm>
                          <a:prstGeom prst="rect">
                            <a:avLst/>
                          </a:prstGeom>
                          <a:noFill/>
                          <a:ln w="9525">
                            <a:noFill/>
                            <a:miter lim="800000"/>
                            <a:headEnd/>
                            <a:tailEnd/>
                          </a:ln>
                        </pic:spPr>
                      </pic:pic>
                    </a:graphicData>
                  </a:graphic>
                </wp:inline>
              </w:drawing>
            </w:r>
          </w:p>
        </w:tc>
      </w:tr>
      <w:tr w:rsidR="00680E4C" w:rsidRPr="00FE24C0" w:rsidTr="00FE24C0">
        <w:trPr>
          <w:trHeight w:val="377"/>
          <w:jc w:val="center"/>
        </w:trPr>
        <w:tc>
          <w:tcPr>
            <w:tcW w:w="8543" w:type="dxa"/>
          </w:tcPr>
          <w:p w:rsidR="00680E4C" w:rsidRPr="00FE24C0" w:rsidRDefault="00444F9A" w:rsidP="00680E4C">
            <w:r w:rsidRPr="00FE24C0">
              <w:rPr>
                <w:b/>
                <w:sz w:val="16"/>
                <w:szCs w:val="16"/>
              </w:rPr>
              <w:t xml:space="preserve">Table </w:t>
            </w:r>
            <w:r w:rsidR="00F35F4C" w:rsidRPr="00FE24C0">
              <w:rPr>
                <w:b/>
                <w:sz w:val="16"/>
                <w:szCs w:val="16"/>
              </w:rPr>
              <w:t>A</w:t>
            </w:r>
            <w:r w:rsidR="00874470">
              <w:rPr>
                <w:b/>
                <w:sz w:val="16"/>
                <w:szCs w:val="16"/>
              </w:rPr>
              <w:t>2.</w:t>
            </w:r>
            <w:r w:rsidRPr="00FE24C0">
              <w:rPr>
                <w:b/>
                <w:sz w:val="16"/>
                <w:szCs w:val="16"/>
              </w:rPr>
              <w:t>16. Sum Insured of Cuartel 22 in Bahia Blanca (Total and monthly allocation in cover period)</w:t>
            </w:r>
            <w:r w:rsidRPr="00FE24C0">
              <w:rPr>
                <w:sz w:val="16"/>
                <w:szCs w:val="16"/>
              </w:rPr>
              <w:t>.</w:t>
            </w:r>
          </w:p>
        </w:tc>
      </w:tr>
    </w:tbl>
    <w:p w:rsidR="00680E4C" w:rsidRPr="00FE24C0" w:rsidRDefault="00680E4C" w:rsidP="00680E4C"/>
    <w:p w:rsidR="00680E4C" w:rsidRPr="00FE24C0" w:rsidRDefault="00444F9A" w:rsidP="006E1CFE">
      <w:pPr>
        <w:spacing w:after="0"/>
      </w:pPr>
      <w:r w:rsidRPr="00FE24C0">
        <w:t xml:space="preserve">According to the insurance design, whenever the Index in March is below the Exit Trigger for March, a payout of AR$ 220,683 should be made (21.4% of the Total Sum Insured in the Cuartel). Whenever the Index observed in April is below the Exit Trigger for April, AR$ 137,388 should be paid out (13.3% of the Total Sum Insured in Cuartel 22). And so on.  </w:t>
      </w:r>
    </w:p>
    <w:p w:rsidR="00680E4C" w:rsidRPr="00FE24C0" w:rsidRDefault="00680E4C" w:rsidP="006E1CFE">
      <w:pPr>
        <w:spacing w:after="0"/>
      </w:pPr>
    </w:p>
    <w:p w:rsidR="00680E4C" w:rsidRPr="00FE24C0" w:rsidRDefault="00874470" w:rsidP="006E1CFE">
      <w:pPr>
        <w:pStyle w:val="Ttulo2"/>
        <w:keepLines w:val="0"/>
        <w:numPr>
          <w:ilvl w:val="1"/>
          <w:numId w:val="0"/>
        </w:numPr>
        <w:tabs>
          <w:tab w:val="num" w:pos="576"/>
        </w:tabs>
        <w:spacing w:before="0" w:after="0"/>
        <w:ind w:left="576" w:hanging="576"/>
      </w:pPr>
      <w:bookmarkStart w:id="74" w:name="_Toc337309997"/>
      <w:r>
        <w:t xml:space="preserve">5.4. </w:t>
      </w:r>
      <w:r w:rsidR="00680E4C" w:rsidRPr="00FE24C0">
        <w:t>Payout Rule</w:t>
      </w:r>
      <w:bookmarkEnd w:id="74"/>
    </w:p>
    <w:p w:rsidR="006E1CFE" w:rsidRPr="00FE24C0" w:rsidRDefault="006E1CFE" w:rsidP="006E1CFE">
      <w:pPr>
        <w:spacing w:after="0"/>
      </w:pPr>
    </w:p>
    <w:p w:rsidR="00874470" w:rsidRDefault="00444F9A" w:rsidP="00874470">
      <w:r w:rsidRPr="00FE24C0">
        <w:t>The payout of the insurance is triggered in any month of the cover period if the Index is less than the Trigger Index for that month. If the Index is as well less than the Exit Index, the whole Sum Insured of that month should be paid out. If the Index is between the Trigger and Exit, there is a proportional payout. In order to avoid minimal payouts, a qualifying franchise (non deductible) is set out in the contract (see Section 3.4</w:t>
      </w:r>
      <w:r w:rsidR="00874470">
        <w:t xml:space="preserve"> of this Annex</w:t>
      </w:r>
      <w:r w:rsidRPr="00FE24C0">
        <w:t>)</w:t>
      </w:r>
      <w:r w:rsidR="00874470">
        <w:t>.</w:t>
      </w:r>
    </w:p>
    <w:p w:rsidR="00680E4C" w:rsidRPr="00FE24C0" w:rsidRDefault="00444F9A" w:rsidP="00680E4C">
      <w:r w:rsidRPr="00FE24C0">
        <w:t xml:space="preserve"> Figure </w:t>
      </w:r>
      <w:r w:rsidR="00874470">
        <w:t>A2.</w:t>
      </w:r>
      <w:r w:rsidRPr="00FE24C0">
        <w:t xml:space="preserve">8 illustrates the payout rule for October as percentage of the Annual Total Sum Insured, according to the </w:t>
      </w:r>
      <w:r w:rsidRPr="00FE24C0">
        <w:rPr>
          <w:i/>
        </w:rPr>
        <w:t>Trigger</w:t>
      </w:r>
      <w:r w:rsidRPr="00FE24C0">
        <w:t xml:space="preserve"> and </w:t>
      </w:r>
      <w:r w:rsidRPr="00FE24C0">
        <w:rPr>
          <w:i/>
        </w:rPr>
        <w:t>Exit</w:t>
      </w:r>
      <w:r w:rsidRPr="00FE24C0">
        <w:t xml:space="preserve"> that have been calculated in Section 5.2 </w:t>
      </w:r>
      <w:r w:rsidR="00C50068">
        <w:t xml:space="preserve">of this Annex </w:t>
      </w:r>
      <w:r w:rsidRPr="00FE24C0">
        <w:t>and the monthly allocation of the Total Sum insured in Section 5.3</w:t>
      </w:r>
      <w:r w:rsidR="00C50068">
        <w:t xml:space="preserve"> of this Annex</w:t>
      </w:r>
      <w:r w:rsidRPr="00FE24C0">
        <w:t xml:space="preserve">. In order to perform the calculation, a Normal distribution has been used (“Método = Normal”), </w:t>
      </w:r>
      <w:r w:rsidR="00C50068">
        <w:t xml:space="preserve">the Trigger was calculated using a frequency (month by month) of 1 in 7 years, </w:t>
      </w:r>
      <w:r w:rsidRPr="00FE24C0">
        <w:t>the Exit has been set out one standard deviation below the Trigger (</w:t>
      </w:r>
      <w:r w:rsidR="00680E4C" w:rsidRPr="00FE24C0">
        <w:rPr>
          <w:position w:val="-10"/>
        </w:rPr>
        <w:object w:dxaOrig="600" w:dyaOrig="300">
          <v:shape id="_x0000_i1079" type="#_x0000_t75" style="width:30pt;height:15pt" o:ole="">
            <v:imagedata r:id="rId203" o:title=""/>
          </v:shape>
          <o:OLEObject Type="Embed" ProgID="Equation.DSMT4" ShapeID="_x0000_i1079" DrawAspect="Content" ObjectID="_1419536218" r:id="rId204"/>
        </w:object>
      </w:r>
      <w:r w:rsidRPr="00FE24C0">
        <w:t>) and the qualifying franchise has been set out in 2% of the Annual Total Sum Insured.</w:t>
      </w:r>
    </w:p>
    <w:tbl>
      <w:tblPr>
        <w:tblStyle w:val="Tablaconcuadrcula"/>
        <w:tblW w:w="0" w:type="auto"/>
        <w:jc w:val="center"/>
        <w:tblLook w:val="04A0"/>
      </w:tblPr>
      <w:tblGrid>
        <w:gridCol w:w="8292"/>
      </w:tblGrid>
      <w:tr w:rsidR="00680E4C" w:rsidRPr="00FE24C0" w:rsidTr="00680E4C">
        <w:trPr>
          <w:jc w:val="center"/>
        </w:trPr>
        <w:tc>
          <w:tcPr>
            <w:tcW w:w="8292" w:type="dxa"/>
            <w:vAlign w:val="center"/>
          </w:tcPr>
          <w:p w:rsidR="00680E4C" w:rsidRPr="00FE24C0" w:rsidRDefault="00193F63" w:rsidP="00680E4C">
            <w:pPr>
              <w:jc w:val="center"/>
            </w:pPr>
            <w:r w:rsidRPr="00FE24C0">
              <w:rPr>
                <w:noProof/>
                <w:lang w:val="es-AR" w:eastAsia="es-AR"/>
              </w:rPr>
              <w:lastRenderedPageBreak/>
              <w:drawing>
                <wp:inline distT="0" distB="0" distL="0" distR="0">
                  <wp:extent cx="4938842" cy="2217966"/>
                  <wp:effectExtent l="19050" t="0" r="0" b="0"/>
                  <wp:docPr id="128"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5" cstate="print"/>
                          <a:srcRect/>
                          <a:stretch>
                            <a:fillRect/>
                          </a:stretch>
                        </pic:blipFill>
                        <pic:spPr bwMode="auto">
                          <a:xfrm>
                            <a:off x="0" y="0"/>
                            <a:ext cx="4938842" cy="2217966"/>
                          </a:xfrm>
                          <a:prstGeom prst="rect">
                            <a:avLst/>
                          </a:prstGeom>
                          <a:noFill/>
                          <a:ln w="9525">
                            <a:noFill/>
                            <a:miter lim="800000"/>
                            <a:headEnd/>
                            <a:tailEnd/>
                          </a:ln>
                        </pic:spPr>
                      </pic:pic>
                    </a:graphicData>
                  </a:graphic>
                </wp:inline>
              </w:drawing>
            </w:r>
          </w:p>
        </w:tc>
      </w:tr>
      <w:tr w:rsidR="00680E4C" w:rsidRPr="008876E4" w:rsidTr="00680E4C">
        <w:trPr>
          <w:jc w:val="center"/>
        </w:trPr>
        <w:tc>
          <w:tcPr>
            <w:tcW w:w="8292" w:type="dxa"/>
          </w:tcPr>
          <w:p w:rsidR="00680E4C" w:rsidRPr="00FE24C0" w:rsidRDefault="00444F9A" w:rsidP="00680E4C">
            <w:pPr>
              <w:rPr>
                <w:lang w:val="es-NI"/>
              </w:rPr>
            </w:pPr>
            <w:r w:rsidRPr="00FE24C0">
              <w:rPr>
                <w:b/>
                <w:noProof/>
                <w:sz w:val="16"/>
                <w:szCs w:val="16"/>
                <w:lang w:eastAsia="es-AR"/>
              </w:rPr>
              <w:t xml:space="preserve">Figure </w:t>
            </w:r>
            <w:r w:rsidR="00C50068">
              <w:rPr>
                <w:b/>
                <w:noProof/>
                <w:sz w:val="16"/>
                <w:szCs w:val="16"/>
                <w:lang w:eastAsia="es-AR"/>
              </w:rPr>
              <w:t>A2.</w:t>
            </w:r>
            <w:r w:rsidRPr="00FE24C0">
              <w:rPr>
                <w:b/>
                <w:noProof/>
                <w:sz w:val="16"/>
                <w:szCs w:val="16"/>
                <w:lang w:eastAsia="es-AR"/>
              </w:rPr>
              <w:t xml:space="preserve">8. Payout rule for October, expressed as percentage of the Annual Total Sum Insured. </w:t>
            </w:r>
            <w:r w:rsidRPr="00FE24C0">
              <w:rPr>
                <w:b/>
                <w:noProof/>
                <w:sz w:val="16"/>
                <w:szCs w:val="16"/>
                <w:lang w:val="es-NI" w:eastAsia="es-AR"/>
              </w:rPr>
              <w:t xml:space="preserve">Cluster 1, Cuartel 22, Bahia Blanca. </w:t>
            </w:r>
            <w:r w:rsidRPr="00FE24C0">
              <w:rPr>
                <w:noProof/>
                <w:sz w:val="16"/>
                <w:szCs w:val="16"/>
                <w:lang w:val="es-NI" w:eastAsia="es-AR"/>
              </w:rPr>
              <w:t xml:space="preserve">Parameters: </w:t>
            </w:r>
            <w:r w:rsidR="00C50068">
              <w:rPr>
                <w:noProof/>
                <w:sz w:val="16"/>
                <w:szCs w:val="16"/>
                <w:lang w:val="es-NI" w:eastAsia="es-AR"/>
              </w:rPr>
              <w:t xml:space="preserve">Return Period = 7 years. </w:t>
            </w:r>
            <w:r w:rsidRPr="00FE24C0">
              <w:rPr>
                <w:noProof/>
                <w:sz w:val="16"/>
                <w:szCs w:val="16"/>
                <w:lang w:val="es-NI" w:eastAsia="es-AR"/>
              </w:rPr>
              <w:t>Método = Normal. Franquicia = 2%. Desvío para Exit Index = 1 (see Section 4.2</w:t>
            </w:r>
            <w:r w:rsidR="00C50068">
              <w:rPr>
                <w:noProof/>
                <w:sz w:val="16"/>
                <w:szCs w:val="16"/>
                <w:lang w:val="es-NI" w:eastAsia="es-AR"/>
              </w:rPr>
              <w:t xml:space="preserve"> of this Annex</w:t>
            </w:r>
            <w:r w:rsidRPr="00FE24C0">
              <w:rPr>
                <w:noProof/>
                <w:sz w:val="16"/>
                <w:szCs w:val="16"/>
                <w:lang w:val="es-NI" w:eastAsia="es-AR"/>
              </w:rPr>
              <w:t>)</w:t>
            </w:r>
          </w:p>
        </w:tc>
      </w:tr>
    </w:tbl>
    <w:p w:rsidR="00680E4C" w:rsidRPr="00FE24C0" w:rsidRDefault="00680E4C" w:rsidP="00680E4C">
      <w:pPr>
        <w:rPr>
          <w:lang w:val="es-NI"/>
        </w:rPr>
      </w:pPr>
    </w:p>
    <w:p w:rsidR="00680E4C" w:rsidRPr="00FE24C0" w:rsidRDefault="00444F9A" w:rsidP="00680E4C">
      <w:r w:rsidRPr="00FE24C0">
        <w:t xml:space="preserve">Figure </w:t>
      </w:r>
      <w:r w:rsidR="00C50068">
        <w:t>A2</w:t>
      </w:r>
      <w:r w:rsidR="00694069">
        <w:t>.</w:t>
      </w:r>
      <w:r w:rsidRPr="00FE24C0">
        <w:t xml:space="preserve">9 illustrates the payout rule in October, but expressed in Argentinean Pesos, using the same parameters as in Figure </w:t>
      </w:r>
      <w:r w:rsidR="00C50068">
        <w:t>A2.</w:t>
      </w:r>
      <w:r w:rsidRPr="00FE24C0">
        <w:t xml:space="preserve">8. </w:t>
      </w:r>
    </w:p>
    <w:tbl>
      <w:tblPr>
        <w:tblStyle w:val="Tablaconcuadrcula"/>
        <w:tblW w:w="0" w:type="auto"/>
        <w:jc w:val="center"/>
        <w:tblLook w:val="04A0"/>
      </w:tblPr>
      <w:tblGrid>
        <w:gridCol w:w="8330"/>
      </w:tblGrid>
      <w:tr w:rsidR="00680E4C" w:rsidRPr="00FE24C0" w:rsidTr="00680E4C">
        <w:trPr>
          <w:jc w:val="center"/>
        </w:trPr>
        <w:tc>
          <w:tcPr>
            <w:tcW w:w="8330" w:type="dxa"/>
            <w:vAlign w:val="center"/>
          </w:tcPr>
          <w:p w:rsidR="00680E4C" w:rsidRPr="00FE24C0" w:rsidRDefault="00680E4C" w:rsidP="00680E4C">
            <w:pPr>
              <w:jc w:val="center"/>
            </w:pPr>
            <w:r w:rsidRPr="00FE24C0">
              <w:rPr>
                <w:noProof/>
                <w:lang w:val="es-AR" w:eastAsia="es-AR"/>
              </w:rPr>
              <w:drawing>
                <wp:inline distT="0" distB="0" distL="0" distR="0">
                  <wp:extent cx="4938842" cy="2217966"/>
                  <wp:effectExtent l="19050" t="0" r="0" b="0"/>
                  <wp:docPr id="12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6" cstate="print"/>
                          <a:srcRect/>
                          <a:stretch>
                            <a:fillRect/>
                          </a:stretch>
                        </pic:blipFill>
                        <pic:spPr bwMode="auto">
                          <a:xfrm>
                            <a:off x="0" y="0"/>
                            <a:ext cx="4938842" cy="2217966"/>
                          </a:xfrm>
                          <a:prstGeom prst="rect">
                            <a:avLst/>
                          </a:prstGeom>
                          <a:noFill/>
                          <a:ln w="9525">
                            <a:noFill/>
                            <a:miter lim="800000"/>
                            <a:headEnd/>
                            <a:tailEnd/>
                          </a:ln>
                        </pic:spPr>
                      </pic:pic>
                    </a:graphicData>
                  </a:graphic>
                </wp:inline>
              </w:drawing>
            </w:r>
          </w:p>
        </w:tc>
      </w:tr>
      <w:tr w:rsidR="00680E4C" w:rsidRPr="00FE24C0" w:rsidTr="00680E4C">
        <w:trPr>
          <w:jc w:val="center"/>
        </w:trPr>
        <w:tc>
          <w:tcPr>
            <w:tcW w:w="8330" w:type="dxa"/>
          </w:tcPr>
          <w:p w:rsidR="00680E4C" w:rsidRPr="00FE24C0" w:rsidRDefault="00444F9A" w:rsidP="00680E4C">
            <w:r w:rsidRPr="00FE24C0">
              <w:rPr>
                <w:b/>
                <w:noProof/>
                <w:sz w:val="16"/>
                <w:szCs w:val="16"/>
                <w:lang w:eastAsia="es-AR"/>
              </w:rPr>
              <w:t xml:space="preserve">Figure </w:t>
            </w:r>
            <w:r w:rsidR="00694069">
              <w:rPr>
                <w:b/>
                <w:noProof/>
                <w:sz w:val="16"/>
                <w:szCs w:val="16"/>
                <w:lang w:eastAsia="es-AR"/>
              </w:rPr>
              <w:t>A2.</w:t>
            </w:r>
            <w:r w:rsidRPr="00FE24C0">
              <w:rPr>
                <w:b/>
                <w:noProof/>
                <w:sz w:val="16"/>
                <w:szCs w:val="16"/>
                <w:lang w:eastAsia="es-AR"/>
              </w:rPr>
              <w:t xml:space="preserve">9. Payout rule in October, expressed in AR$. </w:t>
            </w:r>
            <w:r w:rsidRPr="00FE24C0">
              <w:rPr>
                <w:b/>
                <w:noProof/>
                <w:sz w:val="16"/>
                <w:szCs w:val="16"/>
                <w:lang w:val="es-NI" w:eastAsia="es-AR"/>
              </w:rPr>
              <w:t xml:space="preserve">Clúster 1, Cuartel 22, Bahia Blanca. </w:t>
            </w:r>
            <w:r w:rsidRPr="00FE24C0">
              <w:rPr>
                <w:noProof/>
                <w:sz w:val="16"/>
                <w:szCs w:val="16"/>
                <w:lang w:val="es-NI" w:eastAsia="es-AR"/>
              </w:rPr>
              <w:t xml:space="preserve">Parameters: Método = Normal. </w:t>
            </w:r>
            <w:r w:rsidRPr="00FE24C0">
              <w:rPr>
                <w:noProof/>
                <w:sz w:val="16"/>
                <w:szCs w:val="16"/>
                <w:lang w:eastAsia="es-AR"/>
              </w:rPr>
              <w:t>Franquicia = 2%. Desvío para Exit Index = 1 (See Section 4.2).</w:t>
            </w:r>
          </w:p>
        </w:tc>
      </w:tr>
    </w:tbl>
    <w:p w:rsidR="00680E4C" w:rsidRPr="00FE24C0" w:rsidRDefault="00680E4C" w:rsidP="00680E4C"/>
    <w:p w:rsidR="00E43164" w:rsidRDefault="00C50068">
      <w:pPr>
        <w:pStyle w:val="Ttulo2"/>
        <w:keepLines w:val="0"/>
        <w:numPr>
          <w:ilvl w:val="1"/>
          <w:numId w:val="0"/>
        </w:numPr>
        <w:tabs>
          <w:tab w:val="num" w:pos="576"/>
        </w:tabs>
        <w:spacing w:before="0" w:after="0"/>
        <w:ind w:left="578" w:hanging="578"/>
      </w:pPr>
      <w:bookmarkStart w:id="75" w:name="_Toc337309998"/>
      <w:r>
        <w:t xml:space="preserve">5.5. </w:t>
      </w:r>
      <w:r w:rsidR="00680E4C" w:rsidRPr="00FE24C0">
        <w:t>Historical payouts and Burn Analysis</w:t>
      </w:r>
      <w:bookmarkEnd w:id="75"/>
    </w:p>
    <w:p w:rsidR="00E43164" w:rsidRDefault="00E43164">
      <w:pPr>
        <w:pStyle w:val="Ttulo2"/>
        <w:keepLines w:val="0"/>
        <w:numPr>
          <w:ilvl w:val="1"/>
          <w:numId w:val="0"/>
        </w:numPr>
        <w:tabs>
          <w:tab w:val="num" w:pos="576"/>
        </w:tabs>
        <w:spacing w:before="0" w:after="0"/>
        <w:ind w:left="578" w:hanging="578"/>
      </w:pPr>
    </w:p>
    <w:p w:rsidR="00680E4C" w:rsidRPr="00FE24C0" w:rsidRDefault="00444F9A" w:rsidP="00680E4C">
      <w:r w:rsidRPr="00FE24C0">
        <w:t>According to the parameters set out so far, the payouts that would have been made in the 28 years of the database, if the insurance would have been operating, were calculated.</w:t>
      </w:r>
    </w:p>
    <w:p w:rsidR="00680E4C" w:rsidRPr="00FE24C0" w:rsidRDefault="00444F9A" w:rsidP="00680E4C">
      <w:r w:rsidRPr="00FE24C0">
        <w:t xml:space="preserve">For instance, in October 2008, in Cluster C22_1 the Index value was 0.4391 (see Table </w:t>
      </w:r>
      <w:r w:rsidR="00F35F4C" w:rsidRPr="00FE24C0">
        <w:t>A</w:t>
      </w:r>
      <w:r w:rsidR="003202B7">
        <w:t>2.</w:t>
      </w:r>
      <w:r w:rsidRPr="00FE24C0">
        <w:t>11 in Section 5.2</w:t>
      </w:r>
      <w:r w:rsidR="003202B7">
        <w:t xml:space="preserve"> of this Annex</w:t>
      </w:r>
      <w:r w:rsidRPr="00FE24C0">
        <w:t>). The Trigger and Exit for October are 0.4438 and 0.3546, respectively (see Section 5.2</w:t>
      </w:r>
      <w:r w:rsidR="00694069">
        <w:t xml:space="preserve"> of this Annex and Figures A2.8 and A2.9</w:t>
      </w:r>
      <w:r w:rsidRPr="00FE24C0">
        <w:t xml:space="preserve">), and consequently a loss would have </w:t>
      </w:r>
      <w:r w:rsidRPr="00FE24C0">
        <w:lastRenderedPageBreak/>
        <w:t>been incurred in October 2008. The amount of the loss would have been (see Section 3.4</w:t>
      </w:r>
      <w:r w:rsidR="00694069">
        <w:t xml:space="preserve"> of this Annex</w:t>
      </w:r>
      <w:r w:rsidRPr="00FE24C0">
        <w:t>):</w:t>
      </w:r>
    </w:p>
    <w:p w:rsidR="00680E4C" w:rsidRPr="00FE24C0" w:rsidRDefault="00680E4C" w:rsidP="00680E4C">
      <w:pPr>
        <w:jc w:val="center"/>
      </w:pPr>
      <w:r w:rsidRPr="00FE24C0">
        <w:rPr>
          <w:position w:val="-22"/>
        </w:rPr>
        <w:object w:dxaOrig="4380" w:dyaOrig="560">
          <v:shape id="_x0000_i1080" type="#_x0000_t75" style="width:218.25pt;height:28.5pt" o:ole="">
            <v:imagedata r:id="rId207" o:title=""/>
          </v:shape>
          <o:OLEObject Type="Embed" ProgID="Equation.DSMT4" ShapeID="_x0000_i1080" DrawAspect="Content" ObjectID="_1419536219" r:id="rId208"/>
        </w:object>
      </w:r>
    </w:p>
    <w:p w:rsidR="00680E4C" w:rsidRPr="00FE24C0" w:rsidRDefault="00444F9A" w:rsidP="00680E4C">
      <w:r w:rsidRPr="00FE24C0">
        <w:t xml:space="preserve">However, the qualifying franchise </w:t>
      </w:r>
      <w:r w:rsidR="00694069">
        <w:t xml:space="preserve">was set at </w:t>
      </w:r>
      <w:r w:rsidRPr="00FE24C0">
        <w:t>2% of the annual Total Sum Insured</w:t>
      </w:r>
      <w:r w:rsidR="00694069">
        <w:t xml:space="preserve"> or AR$ 20,650 (see Figure A2.9</w:t>
      </w:r>
      <w:r w:rsidRPr="00FE24C0">
        <w:t>). Therefore, no payment at all would have been made (See Section 3.4</w:t>
      </w:r>
      <w:r w:rsidR="00694069">
        <w:t xml:space="preserve"> of this Annex</w:t>
      </w:r>
      <w:r w:rsidRPr="00FE24C0">
        <w:t>).</w:t>
      </w:r>
    </w:p>
    <w:p w:rsidR="00680E4C" w:rsidRPr="00FE24C0" w:rsidRDefault="00444F9A" w:rsidP="00680E4C">
      <w:r w:rsidRPr="00FE24C0">
        <w:t xml:space="preserve">In October 2009, Index value in Cluster C22_1 was 0.4071 (see Table </w:t>
      </w:r>
      <w:r w:rsidR="00F35F4C" w:rsidRPr="00FE24C0">
        <w:t>A</w:t>
      </w:r>
      <w:r w:rsidR="00694069">
        <w:t>2.</w:t>
      </w:r>
      <w:r w:rsidRPr="00FE24C0">
        <w:t>11 in Section 5.2</w:t>
      </w:r>
      <w:r w:rsidR="00694069">
        <w:t xml:space="preserve"> of this Annex</w:t>
      </w:r>
      <w:r w:rsidRPr="00FE24C0">
        <w:t>). The loss incurred would have been:</w:t>
      </w:r>
    </w:p>
    <w:p w:rsidR="00680E4C" w:rsidRPr="00FE24C0" w:rsidRDefault="00680E4C" w:rsidP="00680E4C">
      <w:pPr>
        <w:jc w:val="center"/>
      </w:pPr>
      <w:r w:rsidRPr="00FE24C0">
        <w:rPr>
          <w:position w:val="-22"/>
        </w:rPr>
        <w:object w:dxaOrig="4480" w:dyaOrig="560">
          <v:shape id="_x0000_i1081" type="#_x0000_t75" style="width:223.5pt;height:28.5pt" o:ole="">
            <v:imagedata r:id="rId209" o:title=""/>
          </v:shape>
          <o:OLEObject Type="Embed" ProgID="Equation.DSMT4" ShapeID="_x0000_i1081" DrawAspect="Content" ObjectID="_1419536220" r:id="rId210"/>
        </w:object>
      </w:r>
    </w:p>
    <w:p w:rsidR="00680E4C" w:rsidRPr="00FE24C0" w:rsidRDefault="00444F9A" w:rsidP="00680E4C">
      <w:r w:rsidRPr="00FE24C0">
        <w:t>This amount is higher than the Franchise, and consequently would have been actually paid out in full (see Section 3.4</w:t>
      </w:r>
      <w:r w:rsidR="00694069">
        <w:t xml:space="preserve"> of this Annex</w:t>
      </w:r>
      <w:r w:rsidRPr="00FE24C0">
        <w:t>).</w:t>
      </w:r>
    </w:p>
    <w:p w:rsidR="00680E4C" w:rsidRPr="00FE24C0" w:rsidRDefault="00444F9A" w:rsidP="00680E4C">
      <w:r w:rsidRPr="00FE24C0">
        <w:t xml:space="preserve">Table </w:t>
      </w:r>
      <w:r w:rsidR="00F35F4C" w:rsidRPr="00FE24C0">
        <w:t>A</w:t>
      </w:r>
      <w:r w:rsidR="00694069">
        <w:t>2.</w:t>
      </w:r>
      <w:r w:rsidRPr="00FE24C0">
        <w:t>17 illustrates historical payouts that would have been made in Cuartel 22, Bahia Blanca, as percentage of Annual Total Sum Insured and in Argentinean Pesos.</w:t>
      </w:r>
    </w:p>
    <w:p w:rsidR="00680E4C" w:rsidRPr="00FE24C0" w:rsidRDefault="00444F9A" w:rsidP="00680E4C">
      <w:r w:rsidRPr="00FE24C0">
        <w:t xml:space="preserve">Performing a similar procedure for each one of the month in the cover period, the theoretical historical payouts, as percentage of the Annual Total Sum Insured, have been calculated (see Table </w:t>
      </w:r>
      <w:r w:rsidR="00F35F4C" w:rsidRPr="00FE24C0">
        <w:t>A</w:t>
      </w:r>
      <w:r w:rsidR="00694069">
        <w:t>2.</w:t>
      </w:r>
      <w:r w:rsidRPr="00FE24C0">
        <w:t xml:space="preserve">18). The Risk Premium rate is estimated by averaging the values in last column of Table </w:t>
      </w:r>
      <w:r w:rsidR="00F35F4C" w:rsidRPr="00FE24C0">
        <w:t>A</w:t>
      </w:r>
      <w:r w:rsidR="00694069">
        <w:t>2.</w:t>
      </w:r>
      <w:r w:rsidRPr="00FE24C0">
        <w:t xml:space="preserve">18, and amounts 7.59% for Cuartel 22, Bahia Blanca. </w:t>
      </w:r>
    </w:p>
    <w:tbl>
      <w:tblPr>
        <w:tblStyle w:val="Tablaconcuadrcula"/>
        <w:tblW w:w="0" w:type="auto"/>
        <w:jc w:val="center"/>
        <w:tblLook w:val="04A0"/>
      </w:tblPr>
      <w:tblGrid>
        <w:gridCol w:w="4769"/>
      </w:tblGrid>
      <w:tr w:rsidR="00680E4C" w:rsidRPr="00FE24C0" w:rsidTr="00680E4C">
        <w:trPr>
          <w:jc w:val="center"/>
        </w:trPr>
        <w:tc>
          <w:tcPr>
            <w:tcW w:w="4769" w:type="dxa"/>
            <w:vAlign w:val="center"/>
          </w:tcPr>
          <w:p w:rsidR="00680E4C" w:rsidRPr="00FE24C0" w:rsidRDefault="00680E4C" w:rsidP="00680E4C">
            <w:pPr>
              <w:jc w:val="center"/>
            </w:pPr>
            <w:r w:rsidRPr="00FE24C0">
              <w:rPr>
                <w:noProof/>
                <w:lang w:val="es-AR" w:eastAsia="es-AR"/>
              </w:rPr>
              <w:lastRenderedPageBreak/>
              <w:drawing>
                <wp:inline distT="0" distB="0" distL="0" distR="0">
                  <wp:extent cx="1585943" cy="4066271"/>
                  <wp:effectExtent l="19050" t="0" r="0" b="0"/>
                  <wp:docPr id="130"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1" cstate="print"/>
                          <a:srcRect/>
                          <a:stretch>
                            <a:fillRect/>
                          </a:stretch>
                        </pic:blipFill>
                        <pic:spPr bwMode="auto">
                          <a:xfrm>
                            <a:off x="0" y="0"/>
                            <a:ext cx="1585943" cy="4066271"/>
                          </a:xfrm>
                          <a:prstGeom prst="rect">
                            <a:avLst/>
                          </a:prstGeom>
                          <a:noFill/>
                          <a:ln w="9525">
                            <a:noFill/>
                            <a:miter lim="800000"/>
                            <a:headEnd/>
                            <a:tailEnd/>
                          </a:ln>
                        </pic:spPr>
                      </pic:pic>
                    </a:graphicData>
                  </a:graphic>
                </wp:inline>
              </w:drawing>
            </w:r>
          </w:p>
        </w:tc>
      </w:tr>
      <w:tr w:rsidR="00680E4C" w:rsidRPr="00FE24C0" w:rsidTr="00680E4C">
        <w:trPr>
          <w:jc w:val="center"/>
        </w:trPr>
        <w:tc>
          <w:tcPr>
            <w:tcW w:w="4769" w:type="dxa"/>
          </w:tcPr>
          <w:p w:rsidR="00680E4C" w:rsidRPr="00FE24C0" w:rsidRDefault="00444F9A" w:rsidP="00680E4C">
            <w:r w:rsidRPr="00FE24C0">
              <w:rPr>
                <w:b/>
                <w:sz w:val="16"/>
                <w:szCs w:val="16"/>
              </w:rPr>
              <w:t xml:space="preserve">Table </w:t>
            </w:r>
            <w:r w:rsidR="00F35F4C" w:rsidRPr="00FE24C0">
              <w:rPr>
                <w:b/>
                <w:sz w:val="16"/>
                <w:szCs w:val="16"/>
              </w:rPr>
              <w:t>A</w:t>
            </w:r>
            <w:r w:rsidR="00694069">
              <w:rPr>
                <w:b/>
                <w:sz w:val="16"/>
                <w:szCs w:val="16"/>
              </w:rPr>
              <w:t>2.</w:t>
            </w:r>
            <w:r w:rsidRPr="00FE24C0">
              <w:rPr>
                <w:b/>
                <w:sz w:val="16"/>
                <w:szCs w:val="16"/>
              </w:rPr>
              <w:t>17. Historical Payouts in October for Cuartel 22, Bahia Blanca (AR$ and percentage of Annual Total Sum Insured)</w:t>
            </w:r>
          </w:p>
        </w:tc>
      </w:tr>
    </w:tbl>
    <w:p w:rsidR="00680E4C" w:rsidRPr="00FE24C0" w:rsidRDefault="00680E4C" w:rsidP="00680E4C"/>
    <w:tbl>
      <w:tblPr>
        <w:tblStyle w:val="Tablaconcuadrcula"/>
        <w:tblW w:w="0" w:type="auto"/>
        <w:jc w:val="center"/>
        <w:tblLook w:val="04A0"/>
      </w:tblPr>
      <w:tblGrid>
        <w:gridCol w:w="6345"/>
      </w:tblGrid>
      <w:tr w:rsidR="00680E4C" w:rsidRPr="00FE24C0" w:rsidTr="00680E4C">
        <w:trPr>
          <w:jc w:val="center"/>
        </w:trPr>
        <w:tc>
          <w:tcPr>
            <w:tcW w:w="6345" w:type="dxa"/>
            <w:vAlign w:val="center"/>
          </w:tcPr>
          <w:p w:rsidR="00680E4C" w:rsidRPr="00FE24C0" w:rsidRDefault="00680E4C" w:rsidP="00680E4C">
            <w:pPr>
              <w:jc w:val="center"/>
            </w:pPr>
            <w:r w:rsidRPr="00FE24C0">
              <w:rPr>
                <w:noProof/>
                <w:lang w:val="es-AR" w:eastAsia="es-AR"/>
              </w:rPr>
              <w:lastRenderedPageBreak/>
              <w:drawing>
                <wp:inline distT="0" distB="0" distL="0" distR="0">
                  <wp:extent cx="3124885" cy="4740807"/>
                  <wp:effectExtent l="19050" t="0" r="0" b="0"/>
                  <wp:docPr id="13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2" cstate="print"/>
                          <a:srcRect/>
                          <a:stretch>
                            <a:fillRect/>
                          </a:stretch>
                        </pic:blipFill>
                        <pic:spPr bwMode="auto">
                          <a:xfrm>
                            <a:off x="0" y="0"/>
                            <a:ext cx="3124885" cy="4740807"/>
                          </a:xfrm>
                          <a:prstGeom prst="rect">
                            <a:avLst/>
                          </a:prstGeom>
                          <a:noFill/>
                          <a:ln w="9525">
                            <a:noFill/>
                            <a:miter lim="800000"/>
                            <a:headEnd/>
                            <a:tailEnd/>
                          </a:ln>
                        </pic:spPr>
                      </pic:pic>
                    </a:graphicData>
                  </a:graphic>
                </wp:inline>
              </w:drawing>
            </w:r>
          </w:p>
        </w:tc>
      </w:tr>
      <w:tr w:rsidR="00680E4C" w:rsidRPr="00FE24C0" w:rsidTr="00680E4C">
        <w:trPr>
          <w:jc w:val="center"/>
        </w:trPr>
        <w:tc>
          <w:tcPr>
            <w:tcW w:w="6345" w:type="dxa"/>
          </w:tcPr>
          <w:p w:rsidR="00680E4C" w:rsidRPr="00FE24C0" w:rsidRDefault="00444F9A" w:rsidP="00F35F4C">
            <w:r w:rsidRPr="00FE24C0">
              <w:rPr>
                <w:b/>
                <w:sz w:val="16"/>
                <w:szCs w:val="16"/>
              </w:rPr>
              <w:t>Table</w:t>
            </w:r>
            <w:r w:rsidR="00F35F4C" w:rsidRPr="00FE24C0">
              <w:rPr>
                <w:b/>
                <w:sz w:val="16"/>
                <w:szCs w:val="16"/>
              </w:rPr>
              <w:t xml:space="preserve"> A</w:t>
            </w:r>
            <w:r w:rsidR="00694069">
              <w:rPr>
                <w:b/>
                <w:sz w:val="16"/>
                <w:szCs w:val="16"/>
              </w:rPr>
              <w:t>2.</w:t>
            </w:r>
            <w:r w:rsidRPr="00FE24C0">
              <w:rPr>
                <w:b/>
                <w:sz w:val="16"/>
                <w:szCs w:val="16"/>
              </w:rPr>
              <w:t>18. Historical Payouts per month in cover period (percentage of Annual Total Sum Insured). Cuartel 22, Bahia Blanca</w:t>
            </w:r>
            <w:r w:rsidRPr="00FE24C0">
              <w:rPr>
                <w:sz w:val="16"/>
                <w:szCs w:val="16"/>
              </w:rPr>
              <w:t>.</w:t>
            </w:r>
          </w:p>
        </w:tc>
      </w:tr>
    </w:tbl>
    <w:p w:rsidR="00680E4C" w:rsidRPr="00FE24C0" w:rsidRDefault="00680E4C" w:rsidP="00680E4C"/>
    <w:p w:rsidR="00E43164" w:rsidRDefault="00694069">
      <w:pPr>
        <w:pStyle w:val="Ttulo2"/>
        <w:keepLines w:val="0"/>
        <w:numPr>
          <w:ilvl w:val="1"/>
          <w:numId w:val="0"/>
        </w:numPr>
        <w:tabs>
          <w:tab w:val="num" w:pos="576"/>
        </w:tabs>
        <w:spacing w:before="0" w:after="0"/>
        <w:ind w:left="578" w:hanging="578"/>
      </w:pPr>
      <w:bookmarkStart w:id="76" w:name="_Toc337309999"/>
      <w:r>
        <w:t xml:space="preserve">5.6. </w:t>
      </w:r>
      <w:r w:rsidR="00680E4C" w:rsidRPr="00FE24C0">
        <w:t>Results summary</w:t>
      </w:r>
      <w:bookmarkEnd w:id="76"/>
    </w:p>
    <w:p w:rsidR="00E43164" w:rsidRDefault="00E43164">
      <w:pPr>
        <w:pStyle w:val="Ttulo2"/>
        <w:keepLines w:val="0"/>
        <w:numPr>
          <w:ilvl w:val="1"/>
          <w:numId w:val="0"/>
        </w:numPr>
        <w:tabs>
          <w:tab w:val="num" w:pos="576"/>
        </w:tabs>
        <w:spacing w:before="0" w:after="0"/>
        <w:ind w:left="578" w:hanging="578"/>
      </w:pPr>
    </w:p>
    <w:p w:rsidR="00680E4C" w:rsidRPr="00FE24C0" w:rsidRDefault="00444F9A" w:rsidP="00680E4C">
      <w:r w:rsidRPr="00FE24C0">
        <w:t xml:space="preserve">In Table </w:t>
      </w:r>
      <w:r w:rsidR="00F35F4C" w:rsidRPr="00FE24C0">
        <w:t>A</w:t>
      </w:r>
      <w:r w:rsidR="00694069">
        <w:t>2.</w:t>
      </w:r>
      <w:r w:rsidRPr="00FE24C0">
        <w:t xml:space="preserve">19 are shown the Sum Insured and Risk Premium (Average Loss) for each one of the Cuartels in Bahia Blanca, which have been obtained by performing the same procedure as in previous section. The Risk Premium Rate for the whole </w:t>
      </w:r>
      <w:r w:rsidR="00694069">
        <w:t xml:space="preserve">Department </w:t>
      </w:r>
      <w:r w:rsidRPr="00FE24C0">
        <w:t>amounts 7.58%, which have been obtained as a weighted average by sum insured of the Cuartels’ Risk Premiums.</w:t>
      </w:r>
    </w:p>
    <w:p w:rsidR="00680E4C" w:rsidRPr="00FE24C0" w:rsidRDefault="00444F9A" w:rsidP="00680E4C">
      <w:r w:rsidRPr="00FE24C0">
        <w:t xml:space="preserve">In Table </w:t>
      </w:r>
      <w:r w:rsidR="00F35F4C" w:rsidRPr="00FE24C0">
        <w:t>A</w:t>
      </w:r>
      <w:r w:rsidR="00694069">
        <w:t>2.</w:t>
      </w:r>
      <w:r w:rsidRPr="00FE24C0">
        <w:t xml:space="preserve">20 are shown the global results for all </w:t>
      </w:r>
      <w:r w:rsidR="00865CC5">
        <w:t>Departments</w:t>
      </w:r>
      <w:r w:rsidRPr="00FE24C0">
        <w:t xml:space="preserve"> in SWBA, which have been obtained by repeating the methodology applied in Bahia Blanca. The Global Risk Premium Rate for the whole </w:t>
      </w:r>
      <w:r w:rsidR="00694069">
        <w:t xml:space="preserve">SWBA </w:t>
      </w:r>
      <w:r w:rsidRPr="00FE24C0">
        <w:t xml:space="preserve">is 6.86%, which have been calculated as a weighted average by sum insured of the </w:t>
      </w:r>
      <w:r w:rsidR="00AE1998">
        <w:t>Department</w:t>
      </w:r>
      <w:r w:rsidR="00AE1998" w:rsidRPr="00FE24C0">
        <w:t xml:space="preserve">’s </w:t>
      </w:r>
      <w:r w:rsidRPr="00FE24C0">
        <w:t>Risk Premiums.</w:t>
      </w:r>
    </w:p>
    <w:p w:rsidR="00680E4C" w:rsidRPr="00FE24C0" w:rsidRDefault="00680E4C" w:rsidP="00680E4C"/>
    <w:p w:rsidR="00680E4C" w:rsidRPr="00FE24C0" w:rsidRDefault="00680E4C" w:rsidP="00680E4C"/>
    <w:p w:rsidR="00680E4C" w:rsidRPr="00FE24C0" w:rsidRDefault="00680E4C" w:rsidP="00680E4C"/>
    <w:tbl>
      <w:tblPr>
        <w:tblStyle w:val="Tablaconcuadrcula"/>
        <w:tblW w:w="0" w:type="auto"/>
        <w:jc w:val="center"/>
        <w:tblLook w:val="04A0"/>
      </w:tblPr>
      <w:tblGrid>
        <w:gridCol w:w="7056"/>
      </w:tblGrid>
      <w:tr w:rsidR="00680E4C" w:rsidRPr="00FE24C0" w:rsidTr="00680E4C">
        <w:trPr>
          <w:jc w:val="center"/>
        </w:trPr>
        <w:tc>
          <w:tcPr>
            <w:tcW w:w="7056" w:type="dxa"/>
          </w:tcPr>
          <w:p w:rsidR="00680E4C" w:rsidRPr="00FE24C0" w:rsidRDefault="00193F63" w:rsidP="00680E4C">
            <w:r w:rsidRPr="00FE24C0">
              <w:rPr>
                <w:noProof/>
                <w:lang w:val="es-AR" w:eastAsia="es-AR"/>
              </w:rPr>
              <w:drawing>
                <wp:inline distT="0" distB="0" distL="0" distR="0">
                  <wp:extent cx="4313866" cy="1707300"/>
                  <wp:effectExtent l="19050" t="19050" r="10484" b="26250"/>
                  <wp:docPr id="132"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3" cstate="print"/>
                          <a:srcRect/>
                          <a:stretch>
                            <a:fillRect/>
                          </a:stretch>
                        </pic:blipFill>
                        <pic:spPr bwMode="auto">
                          <a:xfrm>
                            <a:off x="0" y="0"/>
                            <a:ext cx="4313866" cy="1707300"/>
                          </a:xfrm>
                          <a:prstGeom prst="rect">
                            <a:avLst/>
                          </a:prstGeom>
                          <a:noFill/>
                          <a:ln w="9525">
                            <a:solidFill>
                              <a:schemeClr val="tx1"/>
                            </a:solidFill>
                            <a:miter lim="800000"/>
                            <a:headEnd/>
                            <a:tailEnd/>
                          </a:ln>
                        </pic:spPr>
                      </pic:pic>
                    </a:graphicData>
                  </a:graphic>
                </wp:inline>
              </w:drawing>
            </w:r>
          </w:p>
        </w:tc>
      </w:tr>
      <w:tr w:rsidR="00680E4C" w:rsidRPr="00FE24C0" w:rsidTr="00680E4C">
        <w:trPr>
          <w:jc w:val="center"/>
        </w:trPr>
        <w:tc>
          <w:tcPr>
            <w:tcW w:w="7056" w:type="dxa"/>
          </w:tcPr>
          <w:p w:rsidR="00680E4C" w:rsidRPr="00FE24C0" w:rsidRDefault="00444F9A" w:rsidP="00680E4C">
            <w:pPr>
              <w:jc w:val="left"/>
              <w:rPr>
                <w:b/>
                <w:sz w:val="16"/>
                <w:szCs w:val="16"/>
              </w:rPr>
            </w:pPr>
            <w:r w:rsidRPr="00FE24C0">
              <w:rPr>
                <w:b/>
                <w:sz w:val="16"/>
                <w:szCs w:val="16"/>
              </w:rPr>
              <w:t xml:space="preserve">Table </w:t>
            </w:r>
            <w:r w:rsidR="00F35F4C" w:rsidRPr="00FE24C0">
              <w:rPr>
                <w:b/>
                <w:sz w:val="16"/>
                <w:szCs w:val="16"/>
              </w:rPr>
              <w:t>A</w:t>
            </w:r>
            <w:r w:rsidR="00AE1998">
              <w:rPr>
                <w:b/>
                <w:sz w:val="16"/>
                <w:szCs w:val="16"/>
              </w:rPr>
              <w:t>2.</w:t>
            </w:r>
            <w:r w:rsidRPr="00FE24C0">
              <w:rPr>
                <w:b/>
                <w:sz w:val="16"/>
                <w:szCs w:val="16"/>
              </w:rPr>
              <w:t>19. Summary of Results for Bahia Blanca using the following parameters:</w:t>
            </w:r>
          </w:p>
          <w:p w:rsidR="00680E4C" w:rsidRPr="00FE24C0" w:rsidRDefault="00444F9A" w:rsidP="00593B59">
            <w:pPr>
              <w:pStyle w:val="Prrafodelista"/>
              <w:numPr>
                <w:ilvl w:val="0"/>
                <w:numId w:val="15"/>
              </w:numPr>
              <w:spacing w:after="0" w:line="240" w:lineRule="auto"/>
              <w:ind w:left="142" w:hanging="142"/>
              <w:jc w:val="left"/>
              <w:outlineLvl w:val="9"/>
              <w:rPr>
                <w:rFonts w:ascii="Times New Roman" w:hAnsi="Times New Roman"/>
                <w:sz w:val="16"/>
                <w:szCs w:val="16"/>
              </w:rPr>
            </w:pPr>
            <w:r w:rsidRPr="00FE24C0">
              <w:rPr>
                <w:rFonts w:ascii="Times New Roman" w:hAnsi="Times New Roman"/>
                <w:sz w:val="16"/>
                <w:szCs w:val="16"/>
              </w:rPr>
              <w:t xml:space="preserve">Completar Faltantes con = Min. </w:t>
            </w:r>
          </w:p>
          <w:p w:rsidR="00680E4C" w:rsidRPr="00FE24C0" w:rsidRDefault="00444F9A" w:rsidP="00593B59">
            <w:pPr>
              <w:pStyle w:val="Prrafodelista"/>
              <w:numPr>
                <w:ilvl w:val="0"/>
                <w:numId w:val="15"/>
              </w:numPr>
              <w:spacing w:after="0" w:line="240" w:lineRule="auto"/>
              <w:ind w:left="142" w:hanging="142"/>
              <w:jc w:val="left"/>
              <w:outlineLvl w:val="9"/>
              <w:rPr>
                <w:rFonts w:ascii="Times New Roman" w:hAnsi="Times New Roman"/>
                <w:sz w:val="16"/>
                <w:szCs w:val="16"/>
                <w:lang w:val="es-NI"/>
              </w:rPr>
            </w:pPr>
            <w:r w:rsidRPr="00FE24C0">
              <w:rPr>
                <w:rFonts w:ascii="Times New Roman" w:hAnsi="Times New Roman"/>
                <w:sz w:val="16"/>
                <w:szCs w:val="16"/>
                <w:lang w:val="es-NI"/>
              </w:rPr>
              <w:t xml:space="preserve">Completar Año ’94 con = Interp. </w:t>
            </w:r>
          </w:p>
          <w:p w:rsidR="00680E4C" w:rsidRPr="00FE24C0" w:rsidRDefault="00444F9A" w:rsidP="00593B59">
            <w:pPr>
              <w:pStyle w:val="Prrafodelista"/>
              <w:numPr>
                <w:ilvl w:val="0"/>
                <w:numId w:val="15"/>
              </w:numPr>
              <w:spacing w:after="0" w:line="240" w:lineRule="auto"/>
              <w:ind w:left="142" w:hanging="142"/>
              <w:jc w:val="left"/>
              <w:outlineLvl w:val="9"/>
              <w:rPr>
                <w:rFonts w:ascii="Times New Roman" w:hAnsi="Times New Roman"/>
                <w:sz w:val="16"/>
                <w:szCs w:val="16"/>
              </w:rPr>
            </w:pPr>
            <w:r w:rsidRPr="00FE24C0">
              <w:rPr>
                <w:rFonts w:ascii="Times New Roman" w:hAnsi="Times New Roman"/>
                <w:sz w:val="16"/>
                <w:szCs w:val="16"/>
              </w:rPr>
              <w:t xml:space="preserve">Período de Recurrencia = 7 años. </w:t>
            </w:r>
          </w:p>
          <w:p w:rsidR="00680E4C" w:rsidRPr="00FE24C0" w:rsidRDefault="00444F9A" w:rsidP="00593B59">
            <w:pPr>
              <w:pStyle w:val="Prrafodelista"/>
              <w:numPr>
                <w:ilvl w:val="0"/>
                <w:numId w:val="15"/>
              </w:numPr>
              <w:spacing w:after="0" w:line="240" w:lineRule="auto"/>
              <w:ind w:left="142" w:hanging="142"/>
              <w:jc w:val="left"/>
              <w:outlineLvl w:val="9"/>
              <w:rPr>
                <w:rFonts w:ascii="Times New Roman" w:hAnsi="Times New Roman"/>
                <w:sz w:val="16"/>
                <w:szCs w:val="16"/>
              </w:rPr>
            </w:pPr>
            <w:r w:rsidRPr="00FE24C0">
              <w:rPr>
                <w:rFonts w:ascii="Times New Roman" w:hAnsi="Times New Roman"/>
                <w:sz w:val="16"/>
                <w:szCs w:val="16"/>
              </w:rPr>
              <w:t xml:space="preserve">Desvío para Exit Index = 1. </w:t>
            </w:r>
          </w:p>
          <w:p w:rsidR="00680E4C" w:rsidRPr="00FE24C0" w:rsidRDefault="00444F9A" w:rsidP="00593B59">
            <w:pPr>
              <w:pStyle w:val="Prrafodelista"/>
              <w:numPr>
                <w:ilvl w:val="0"/>
                <w:numId w:val="15"/>
              </w:numPr>
              <w:spacing w:after="0" w:line="240" w:lineRule="auto"/>
              <w:ind w:left="142" w:hanging="142"/>
              <w:jc w:val="left"/>
              <w:outlineLvl w:val="9"/>
              <w:rPr>
                <w:rFonts w:ascii="Times New Roman" w:hAnsi="Times New Roman"/>
                <w:sz w:val="16"/>
                <w:szCs w:val="16"/>
              </w:rPr>
            </w:pPr>
            <w:r w:rsidRPr="00FE24C0">
              <w:rPr>
                <w:rFonts w:ascii="Times New Roman" w:hAnsi="Times New Roman"/>
                <w:sz w:val="16"/>
                <w:szCs w:val="16"/>
              </w:rPr>
              <w:t xml:space="preserve">Franquicia = 2%. </w:t>
            </w:r>
          </w:p>
          <w:p w:rsidR="00680E4C" w:rsidRPr="00FE24C0" w:rsidRDefault="00444F9A" w:rsidP="00593B59">
            <w:pPr>
              <w:pStyle w:val="Prrafodelista"/>
              <w:numPr>
                <w:ilvl w:val="0"/>
                <w:numId w:val="15"/>
              </w:numPr>
              <w:spacing w:after="0" w:line="240" w:lineRule="auto"/>
              <w:ind w:left="142" w:hanging="142"/>
              <w:jc w:val="left"/>
              <w:outlineLvl w:val="9"/>
              <w:rPr>
                <w:rFonts w:ascii="Times New Roman" w:hAnsi="Times New Roman"/>
                <w:b/>
                <w:sz w:val="16"/>
                <w:szCs w:val="16"/>
              </w:rPr>
            </w:pPr>
            <w:r w:rsidRPr="00FE24C0">
              <w:rPr>
                <w:rFonts w:ascii="Times New Roman" w:hAnsi="Times New Roman"/>
                <w:sz w:val="16"/>
                <w:szCs w:val="16"/>
              </w:rPr>
              <w:t>Método = Normal.</w:t>
            </w:r>
          </w:p>
        </w:tc>
      </w:tr>
    </w:tbl>
    <w:p w:rsidR="00680E4C" w:rsidRPr="00FE24C0" w:rsidRDefault="00680E4C" w:rsidP="00680E4C"/>
    <w:tbl>
      <w:tblPr>
        <w:tblStyle w:val="Tablaconcuadrcula"/>
        <w:tblW w:w="0" w:type="auto"/>
        <w:tblLook w:val="04A0"/>
      </w:tblPr>
      <w:tblGrid>
        <w:gridCol w:w="8610"/>
      </w:tblGrid>
      <w:tr w:rsidR="00680E4C" w:rsidRPr="00FE24C0" w:rsidTr="00FE24C0">
        <w:trPr>
          <w:trHeight w:val="3597"/>
        </w:trPr>
        <w:tc>
          <w:tcPr>
            <w:tcW w:w="8610" w:type="dxa"/>
          </w:tcPr>
          <w:p w:rsidR="00680E4C" w:rsidRPr="00FE24C0" w:rsidRDefault="00193F63" w:rsidP="00680E4C">
            <w:r w:rsidRPr="00FE24C0">
              <w:rPr>
                <w:noProof/>
                <w:lang w:val="es-AR" w:eastAsia="es-AR"/>
              </w:rPr>
              <w:drawing>
                <wp:inline distT="0" distB="0" distL="0" distR="0">
                  <wp:extent cx="5190903" cy="2213636"/>
                  <wp:effectExtent l="19050" t="0" r="0" b="0"/>
                  <wp:docPr id="133"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4" cstate="print"/>
                          <a:srcRect/>
                          <a:stretch>
                            <a:fillRect/>
                          </a:stretch>
                        </pic:blipFill>
                        <pic:spPr bwMode="auto">
                          <a:xfrm>
                            <a:off x="0" y="0"/>
                            <a:ext cx="5202891" cy="2218748"/>
                          </a:xfrm>
                          <a:prstGeom prst="rect">
                            <a:avLst/>
                          </a:prstGeom>
                          <a:noFill/>
                          <a:ln w="9525">
                            <a:noFill/>
                            <a:miter lim="800000"/>
                            <a:headEnd/>
                            <a:tailEnd/>
                          </a:ln>
                        </pic:spPr>
                      </pic:pic>
                    </a:graphicData>
                  </a:graphic>
                </wp:inline>
              </w:drawing>
            </w:r>
          </w:p>
        </w:tc>
      </w:tr>
      <w:tr w:rsidR="00680E4C" w:rsidRPr="00FE24C0" w:rsidTr="00FE24C0">
        <w:trPr>
          <w:trHeight w:val="405"/>
        </w:trPr>
        <w:tc>
          <w:tcPr>
            <w:tcW w:w="8610" w:type="dxa"/>
          </w:tcPr>
          <w:p w:rsidR="00680E4C" w:rsidRPr="00FE24C0" w:rsidRDefault="00444F9A" w:rsidP="00680E4C">
            <w:r w:rsidRPr="00FE24C0">
              <w:rPr>
                <w:b/>
                <w:sz w:val="16"/>
                <w:szCs w:val="16"/>
              </w:rPr>
              <w:t xml:space="preserve">Table </w:t>
            </w:r>
            <w:r w:rsidR="00F35F4C" w:rsidRPr="00FE24C0">
              <w:rPr>
                <w:b/>
                <w:sz w:val="16"/>
                <w:szCs w:val="16"/>
              </w:rPr>
              <w:t>A</w:t>
            </w:r>
            <w:r w:rsidR="00AE1998">
              <w:rPr>
                <w:b/>
                <w:sz w:val="16"/>
                <w:szCs w:val="16"/>
              </w:rPr>
              <w:t>2.</w:t>
            </w:r>
            <w:r w:rsidRPr="00FE24C0">
              <w:rPr>
                <w:b/>
                <w:sz w:val="16"/>
                <w:szCs w:val="16"/>
              </w:rPr>
              <w:t>20. Summary of Global Results for SWBA</w:t>
            </w:r>
            <w:r w:rsidRPr="00FE24C0">
              <w:rPr>
                <w:sz w:val="16"/>
                <w:szCs w:val="16"/>
              </w:rPr>
              <w:t>.</w:t>
            </w:r>
          </w:p>
        </w:tc>
      </w:tr>
    </w:tbl>
    <w:p w:rsidR="00680E4C" w:rsidRPr="00FE24C0" w:rsidRDefault="00680E4C" w:rsidP="00680E4C"/>
    <w:p w:rsidR="00680E4C" w:rsidRPr="00FE24C0" w:rsidRDefault="00680E4C" w:rsidP="00680E4C"/>
    <w:p w:rsidR="00680E4C" w:rsidRPr="00FE24C0" w:rsidRDefault="00680E4C" w:rsidP="00853A41">
      <w:pPr>
        <w:rPr>
          <w:szCs w:val="22"/>
        </w:rPr>
        <w:sectPr w:rsidR="00680E4C" w:rsidRPr="00FE24C0" w:rsidSect="006B5DAB">
          <w:pgSz w:w="12240" w:h="15840"/>
          <w:pgMar w:top="1440" w:right="1800" w:bottom="1440" w:left="1800" w:header="706" w:footer="706" w:gutter="0"/>
          <w:cols w:space="708"/>
          <w:docGrid w:linePitch="360"/>
        </w:sectPr>
      </w:pPr>
    </w:p>
    <w:p w:rsidR="00857987" w:rsidRPr="00FE24C0" w:rsidRDefault="00857987" w:rsidP="00C64A37">
      <w:pPr>
        <w:pStyle w:val="Ttulo1"/>
        <w:numPr>
          <w:ilvl w:val="0"/>
          <w:numId w:val="0"/>
        </w:numPr>
        <w:rPr>
          <w:rFonts w:cs="Times New Roman"/>
        </w:rPr>
      </w:pPr>
      <w:bookmarkStart w:id="77" w:name="_Toc345794286"/>
      <w:r w:rsidRPr="00FE24C0">
        <w:rPr>
          <w:rFonts w:cs="Times New Roman"/>
        </w:rPr>
        <w:lastRenderedPageBreak/>
        <w:t xml:space="preserve">Annex </w:t>
      </w:r>
      <w:r w:rsidR="00D07306" w:rsidRPr="00FE24C0">
        <w:rPr>
          <w:rFonts w:cs="Times New Roman"/>
        </w:rPr>
        <w:t>3</w:t>
      </w:r>
      <w:r w:rsidRPr="00FE24C0">
        <w:rPr>
          <w:rFonts w:cs="Times New Roman"/>
        </w:rPr>
        <w:t xml:space="preserve">. </w:t>
      </w:r>
      <w:r w:rsidR="00937F0B" w:rsidRPr="00FE24C0">
        <w:rPr>
          <w:rFonts w:cs="Times New Roman"/>
        </w:rPr>
        <w:t>Institutional</w:t>
      </w:r>
      <w:r w:rsidR="001C1F90" w:rsidRPr="00FE24C0">
        <w:rPr>
          <w:rFonts w:cs="Times New Roman"/>
        </w:rPr>
        <w:t xml:space="preserve"> Framework and Options for N</w:t>
      </w:r>
      <w:r w:rsidRPr="00FE24C0">
        <w:rPr>
          <w:rFonts w:cs="Times New Roman"/>
        </w:rPr>
        <w:t xml:space="preserve">DVI </w:t>
      </w:r>
      <w:r w:rsidR="001C1F90" w:rsidRPr="00FE24C0">
        <w:rPr>
          <w:rFonts w:cs="Times New Roman"/>
        </w:rPr>
        <w:t>Insurance in SWBA</w:t>
      </w:r>
      <w:r w:rsidR="00C4787A" w:rsidRPr="00FE24C0">
        <w:rPr>
          <w:rFonts w:cs="Times New Roman"/>
        </w:rPr>
        <w:t>, Argentina</w:t>
      </w:r>
      <w:bookmarkEnd w:id="77"/>
    </w:p>
    <w:p w:rsidR="0039157C" w:rsidRPr="00FE24C0" w:rsidRDefault="0039157C" w:rsidP="00C64A37">
      <w:pPr>
        <w:rPr>
          <w:b/>
          <w:i/>
          <w:sz w:val="24"/>
        </w:rPr>
      </w:pPr>
      <w:r w:rsidRPr="00FE24C0">
        <w:rPr>
          <w:b/>
          <w:i/>
          <w:sz w:val="24"/>
        </w:rPr>
        <w:t>Introduction</w:t>
      </w:r>
    </w:p>
    <w:p w:rsidR="0039157C" w:rsidRPr="00FE24C0" w:rsidRDefault="0039157C" w:rsidP="0039157C">
      <w:pPr>
        <w:rPr>
          <w:szCs w:val="22"/>
        </w:rPr>
      </w:pPr>
      <w:r w:rsidRPr="00FE24C0">
        <w:rPr>
          <w:szCs w:val="22"/>
        </w:rPr>
        <w:t xml:space="preserve">This </w:t>
      </w:r>
      <w:r w:rsidRPr="00FE24C0">
        <w:t xml:space="preserve">Annex </w:t>
      </w:r>
      <w:r w:rsidRPr="00FE24C0">
        <w:rPr>
          <w:szCs w:val="22"/>
        </w:rPr>
        <w:t xml:space="preserve">presents four main institutional and operational framework options for </w:t>
      </w:r>
      <w:r w:rsidRPr="00FE24C0">
        <w:t xml:space="preserve">the NDVI Pasture Index Insurance Program in SWBA for Government of Argentina and other interested parties to </w:t>
      </w:r>
      <w:r w:rsidRPr="00FE24C0">
        <w:rPr>
          <w:szCs w:val="22"/>
        </w:rPr>
        <w:t>consider namely:</w:t>
      </w:r>
    </w:p>
    <w:p w:rsidR="0039157C" w:rsidRPr="00FE24C0" w:rsidRDefault="0039157C" w:rsidP="00593B59">
      <w:pPr>
        <w:pStyle w:val="Prrafodelista"/>
        <w:numPr>
          <w:ilvl w:val="0"/>
          <w:numId w:val="9"/>
        </w:numPr>
        <w:ind w:left="284" w:hanging="284"/>
        <w:rPr>
          <w:rFonts w:ascii="Times New Roman" w:hAnsi="Times New Roman"/>
        </w:rPr>
      </w:pPr>
      <w:r w:rsidRPr="00FE24C0">
        <w:rPr>
          <w:rFonts w:ascii="Times New Roman" w:hAnsi="Times New Roman"/>
        </w:rPr>
        <w:t>Micro-level Voluntary individual scheme</w:t>
      </w:r>
    </w:p>
    <w:p w:rsidR="0039157C" w:rsidRPr="00FE24C0" w:rsidRDefault="0039157C" w:rsidP="00593B59">
      <w:pPr>
        <w:pStyle w:val="Prrafodelista"/>
        <w:numPr>
          <w:ilvl w:val="0"/>
          <w:numId w:val="9"/>
        </w:numPr>
        <w:ind w:left="284" w:hanging="284"/>
        <w:rPr>
          <w:rFonts w:ascii="Times New Roman" w:hAnsi="Times New Roman"/>
        </w:rPr>
      </w:pPr>
      <w:r w:rsidRPr="00FE24C0">
        <w:rPr>
          <w:rFonts w:ascii="Times New Roman" w:hAnsi="Times New Roman"/>
        </w:rPr>
        <w:t>Micro-level Voluntary individual scheme, but with government premium subsidy support</w:t>
      </w:r>
    </w:p>
    <w:p w:rsidR="0039157C" w:rsidRPr="00FE24C0" w:rsidRDefault="0039157C" w:rsidP="00593B59">
      <w:pPr>
        <w:pStyle w:val="Prrafodelista"/>
        <w:numPr>
          <w:ilvl w:val="0"/>
          <w:numId w:val="9"/>
        </w:numPr>
        <w:ind w:left="284" w:hanging="284"/>
        <w:rPr>
          <w:rFonts w:ascii="Times New Roman" w:hAnsi="Times New Roman"/>
        </w:rPr>
      </w:pPr>
      <w:r w:rsidRPr="00FE24C0">
        <w:rPr>
          <w:rFonts w:ascii="Times New Roman" w:hAnsi="Times New Roman"/>
        </w:rPr>
        <w:t>Macro-level scheme with government as the Insured.</w:t>
      </w:r>
    </w:p>
    <w:p w:rsidR="0039157C" w:rsidRPr="00FE24C0" w:rsidRDefault="0039157C" w:rsidP="00593B59">
      <w:pPr>
        <w:pStyle w:val="Prrafodelista"/>
        <w:numPr>
          <w:ilvl w:val="0"/>
          <w:numId w:val="9"/>
        </w:numPr>
        <w:ind w:left="284" w:hanging="284"/>
        <w:rPr>
          <w:rFonts w:ascii="Times New Roman" w:hAnsi="Times New Roman"/>
        </w:rPr>
      </w:pPr>
      <w:r w:rsidRPr="00FE24C0">
        <w:rPr>
          <w:rFonts w:ascii="Times New Roman" w:hAnsi="Times New Roman"/>
        </w:rPr>
        <w:t>Meso-level (bank assurance product)</w:t>
      </w:r>
    </w:p>
    <w:p w:rsidR="0039157C" w:rsidRPr="00FE24C0" w:rsidRDefault="0039157C" w:rsidP="00C64A37">
      <w:pPr>
        <w:rPr>
          <w:b/>
          <w:i/>
          <w:sz w:val="24"/>
        </w:rPr>
      </w:pPr>
      <w:r w:rsidRPr="00FE24C0">
        <w:rPr>
          <w:b/>
          <w:i/>
          <w:sz w:val="24"/>
        </w:rPr>
        <w:t>International Experience with Pasture NDVI Programs: Institutional Framework and Government Support</w:t>
      </w:r>
    </w:p>
    <w:p w:rsidR="0039157C" w:rsidRPr="00FE24C0" w:rsidRDefault="0039157C" w:rsidP="00663A5A">
      <w:r w:rsidRPr="00FE24C0">
        <w:t xml:space="preserve">To date there are four commercial livestock NDVI schemes operating in the World, all of which have been implemented in the past ten years.  Three of these programs operate as voluntary micro-level individual farmer schemes in Spain, USA and Canada and one scheme in Mexico is a macro-level program purchased by the Federal and State governments’ on behalf of the small-scale livestock sector.  Salient features of these four schemes are summarised in Table A4.1. </w:t>
      </w:r>
      <w:proofErr w:type="gramStart"/>
      <w:r w:rsidRPr="00FE24C0">
        <w:t>below</w:t>
      </w:r>
      <w:proofErr w:type="gramEnd"/>
      <w:r w:rsidRPr="00FE24C0">
        <w:t xml:space="preserve"> along with an indication of the type of government support.  It is noted that on the three voluntary individual livestock producer NDVI programs, (i) that premium rates are high for catastrophe NDVI-pasture cover and (ii) government provides very high levels of premium subsidy support usually above two thirds of the costs of premiums.</w:t>
      </w:r>
    </w:p>
    <w:p w:rsidR="0039157C" w:rsidRPr="00FE24C0" w:rsidRDefault="0039157C" w:rsidP="00663A5A">
      <w:pPr>
        <w:pStyle w:val="HeadFiguresTablesBoxes"/>
      </w:pPr>
      <w:r w:rsidRPr="00FE24C0">
        <w:t>Table A4.1. Key Features of Government Support to Commercial NDVI pasture Insurance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9"/>
        <w:gridCol w:w="1261"/>
        <w:gridCol w:w="1216"/>
        <w:gridCol w:w="1350"/>
        <w:gridCol w:w="1843"/>
        <w:gridCol w:w="1276"/>
      </w:tblGrid>
      <w:tr w:rsidR="0039157C" w:rsidRPr="00FE24C0" w:rsidTr="00663A5A">
        <w:tc>
          <w:tcPr>
            <w:tcW w:w="1459" w:type="dxa"/>
            <w:vAlign w:val="center"/>
          </w:tcPr>
          <w:p w:rsidR="0039157C" w:rsidRPr="00FE24C0" w:rsidRDefault="00D97186" w:rsidP="00663A5A">
            <w:pPr>
              <w:jc w:val="center"/>
              <w:rPr>
                <w:b/>
                <w:i/>
                <w:sz w:val="20"/>
                <w:szCs w:val="20"/>
              </w:rPr>
            </w:pPr>
            <w:r w:rsidRPr="00FE24C0">
              <w:rPr>
                <w:b/>
                <w:i/>
                <w:sz w:val="20"/>
                <w:szCs w:val="20"/>
              </w:rPr>
              <w:t>Country</w:t>
            </w:r>
          </w:p>
        </w:tc>
        <w:tc>
          <w:tcPr>
            <w:tcW w:w="1261" w:type="dxa"/>
            <w:vAlign w:val="center"/>
          </w:tcPr>
          <w:p w:rsidR="0039157C" w:rsidRPr="00FE24C0" w:rsidRDefault="00D97186" w:rsidP="00663A5A">
            <w:pPr>
              <w:jc w:val="center"/>
              <w:rPr>
                <w:b/>
                <w:i/>
                <w:sz w:val="20"/>
                <w:szCs w:val="20"/>
              </w:rPr>
            </w:pPr>
            <w:r w:rsidRPr="00FE24C0">
              <w:rPr>
                <w:b/>
                <w:i/>
                <w:sz w:val="20"/>
                <w:szCs w:val="20"/>
              </w:rPr>
              <w:t>Type of scheme</w:t>
            </w:r>
          </w:p>
        </w:tc>
        <w:tc>
          <w:tcPr>
            <w:tcW w:w="1141" w:type="dxa"/>
            <w:vAlign w:val="center"/>
          </w:tcPr>
          <w:p w:rsidR="0039157C" w:rsidRPr="00FE24C0" w:rsidRDefault="00D97186" w:rsidP="00663A5A">
            <w:pPr>
              <w:jc w:val="center"/>
              <w:rPr>
                <w:b/>
                <w:i/>
                <w:sz w:val="20"/>
                <w:szCs w:val="20"/>
              </w:rPr>
            </w:pPr>
            <w:r w:rsidRPr="00FE24C0">
              <w:rPr>
                <w:b/>
                <w:i/>
                <w:sz w:val="20"/>
                <w:szCs w:val="20"/>
              </w:rPr>
              <w:t>Premium subsidies</w:t>
            </w:r>
          </w:p>
        </w:tc>
        <w:tc>
          <w:tcPr>
            <w:tcW w:w="1350" w:type="dxa"/>
            <w:vAlign w:val="center"/>
          </w:tcPr>
          <w:p w:rsidR="0039157C" w:rsidRPr="00FE24C0" w:rsidRDefault="00D97186" w:rsidP="00663A5A">
            <w:pPr>
              <w:jc w:val="center"/>
              <w:rPr>
                <w:b/>
                <w:i/>
                <w:sz w:val="20"/>
                <w:szCs w:val="20"/>
              </w:rPr>
            </w:pPr>
            <w:r w:rsidRPr="00FE24C0">
              <w:rPr>
                <w:b/>
                <w:i/>
                <w:sz w:val="20"/>
                <w:szCs w:val="20"/>
              </w:rPr>
              <w:t>Source of NDVI &amp; Resolution</w:t>
            </w:r>
          </w:p>
        </w:tc>
        <w:tc>
          <w:tcPr>
            <w:tcW w:w="1843" w:type="dxa"/>
            <w:vAlign w:val="center"/>
          </w:tcPr>
          <w:p w:rsidR="0039157C" w:rsidRPr="00FE24C0" w:rsidRDefault="00D97186" w:rsidP="00663A5A">
            <w:pPr>
              <w:jc w:val="center"/>
              <w:rPr>
                <w:b/>
                <w:i/>
                <w:sz w:val="20"/>
                <w:szCs w:val="20"/>
              </w:rPr>
            </w:pPr>
            <w:r w:rsidRPr="00FE24C0">
              <w:rPr>
                <w:b/>
                <w:i/>
                <w:sz w:val="20"/>
                <w:szCs w:val="20"/>
              </w:rPr>
              <w:t>Government support to reinsurance</w:t>
            </w:r>
          </w:p>
        </w:tc>
        <w:tc>
          <w:tcPr>
            <w:tcW w:w="1276" w:type="dxa"/>
            <w:vAlign w:val="center"/>
          </w:tcPr>
          <w:p w:rsidR="0039157C" w:rsidRPr="00FE24C0" w:rsidRDefault="00D97186" w:rsidP="00663A5A">
            <w:pPr>
              <w:jc w:val="center"/>
              <w:rPr>
                <w:b/>
                <w:i/>
                <w:sz w:val="20"/>
                <w:szCs w:val="20"/>
              </w:rPr>
            </w:pPr>
            <w:r w:rsidRPr="00FE24C0">
              <w:rPr>
                <w:b/>
                <w:i/>
                <w:sz w:val="20"/>
                <w:szCs w:val="20"/>
              </w:rPr>
              <w:t>Insured Area (ha) 2009</w:t>
            </w:r>
          </w:p>
        </w:tc>
      </w:tr>
      <w:tr w:rsidR="0039157C" w:rsidRPr="00FE24C0" w:rsidTr="00663A5A">
        <w:tc>
          <w:tcPr>
            <w:tcW w:w="1459" w:type="dxa"/>
            <w:vAlign w:val="center"/>
          </w:tcPr>
          <w:p w:rsidR="0039157C" w:rsidRPr="00FE24C0" w:rsidRDefault="00D97186" w:rsidP="00663A5A">
            <w:pPr>
              <w:jc w:val="center"/>
              <w:rPr>
                <w:sz w:val="20"/>
                <w:szCs w:val="20"/>
              </w:rPr>
            </w:pPr>
            <w:r w:rsidRPr="00FE24C0">
              <w:rPr>
                <w:sz w:val="20"/>
                <w:szCs w:val="20"/>
              </w:rPr>
              <w:t>USA</w:t>
            </w:r>
          </w:p>
        </w:tc>
        <w:tc>
          <w:tcPr>
            <w:tcW w:w="1261" w:type="dxa"/>
            <w:vAlign w:val="center"/>
          </w:tcPr>
          <w:p w:rsidR="0039157C" w:rsidRPr="00FE24C0" w:rsidRDefault="00D97186" w:rsidP="00663A5A">
            <w:pPr>
              <w:jc w:val="center"/>
              <w:rPr>
                <w:sz w:val="20"/>
                <w:szCs w:val="20"/>
              </w:rPr>
            </w:pPr>
            <w:r w:rsidRPr="00FE24C0">
              <w:rPr>
                <w:sz w:val="20"/>
                <w:szCs w:val="20"/>
              </w:rPr>
              <w:t>Individual (voluntary)</w:t>
            </w:r>
          </w:p>
        </w:tc>
        <w:tc>
          <w:tcPr>
            <w:tcW w:w="1141" w:type="dxa"/>
            <w:vAlign w:val="center"/>
          </w:tcPr>
          <w:p w:rsidR="0039157C" w:rsidRPr="00FE24C0" w:rsidRDefault="00D97186" w:rsidP="00663A5A">
            <w:pPr>
              <w:jc w:val="center"/>
              <w:rPr>
                <w:sz w:val="20"/>
                <w:szCs w:val="20"/>
              </w:rPr>
            </w:pPr>
            <w:r w:rsidRPr="00FE24C0">
              <w:rPr>
                <w:sz w:val="20"/>
                <w:szCs w:val="20"/>
              </w:rPr>
              <w:t>YES</w:t>
            </w:r>
          </w:p>
        </w:tc>
        <w:tc>
          <w:tcPr>
            <w:tcW w:w="1350" w:type="dxa"/>
            <w:vAlign w:val="center"/>
          </w:tcPr>
          <w:p w:rsidR="0039157C" w:rsidRPr="00FE24C0" w:rsidRDefault="00D97186" w:rsidP="00663A5A">
            <w:pPr>
              <w:jc w:val="center"/>
              <w:rPr>
                <w:sz w:val="20"/>
                <w:szCs w:val="20"/>
              </w:rPr>
            </w:pPr>
            <w:r w:rsidRPr="00FE24C0">
              <w:rPr>
                <w:sz w:val="20"/>
                <w:szCs w:val="20"/>
              </w:rPr>
              <w:t>USG-EROS (8 km 2)</w:t>
            </w:r>
          </w:p>
        </w:tc>
        <w:tc>
          <w:tcPr>
            <w:tcW w:w="1843" w:type="dxa"/>
            <w:vAlign w:val="center"/>
          </w:tcPr>
          <w:p w:rsidR="0039157C" w:rsidRPr="00FE24C0" w:rsidRDefault="00D97186" w:rsidP="00663A5A">
            <w:pPr>
              <w:jc w:val="center"/>
              <w:rPr>
                <w:sz w:val="20"/>
                <w:szCs w:val="20"/>
              </w:rPr>
            </w:pPr>
            <w:r w:rsidRPr="00FE24C0">
              <w:rPr>
                <w:sz w:val="20"/>
                <w:szCs w:val="20"/>
              </w:rPr>
              <w:t>YES (RMA-Federal Govt.)</w:t>
            </w:r>
          </w:p>
        </w:tc>
        <w:tc>
          <w:tcPr>
            <w:tcW w:w="1276" w:type="dxa"/>
            <w:vAlign w:val="center"/>
          </w:tcPr>
          <w:p w:rsidR="0039157C" w:rsidRPr="00FE24C0" w:rsidRDefault="00D97186" w:rsidP="00663A5A">
            <w:pPr>
              <w:jc w:val="center"/>
              <w:rPr>
                <w:sz w:val="20"/>
                <w:szCs w:val="20"/>
              </w:rPr>
            </w:pPr>
            <w:r w:rsidRPr="00FE24C0">
              <w:rPr>
                <w:sz w:val="20"/>
                <w:szCs w:val="20"/>
              </w:rPr>
              <w:t>7.2 mio acres</w:t>
            </w:r>
          </w:p>
        </w:tc>
      </w:tr>
      <w:tr w:rsidR="0039157C" w:rsidRPr="00FE24C0" w:rsidTr="00663A5A">
        <w:tc>
          <w:tcPr>
            <w:tcW w:w="1459" w:type="dxa"/>
            <w:vAlign w:val="center"/>
          </w:tcPr>
          <w:p w:rsidR="0039157C" w:rsidRPr="00FE24C0" w:rsidRDefault="00D97186" w:rsidP="00663A5A">
            <w:pPr>
              <w:jc w:val="center"/>
              <w:rPr>
                <w:sz w:val="20"/>
                <w:szCs w:val="20"/>
              </w:rPr>
            </w:pPr>
            <w:r w:rsidRPr="00FE24C0">
              <w:rPr>
                <w:sz w:val="20"/>
                <w:szCs w:val="20"/>
              </w:rPr>
              <w:t>Canada</w:t>
            </w:r>
          </w:p>
        </w:tc>
        <w:tc>
          <w:tcPr>
            <w:tcW w:w="1261" w:type="dxa"/>
            <w:vAlign w:val="center"/>
          </w:tcPr>
          <w:p w:rsidR="0039157C" w:rsidRPr="00FE24C0" w:rsidRDefault="00D97186" w:rsidP="00663A5A">
            <w:pPr>
              <w:jc w:val="center"/>
              <w:rPr>
                <w:sz w:val="20"/>
                <w:szCs w:val="20"/>
              </w:rPr>
            </w:pPr>
            <w:r w:rsidRPr="00FE24C0">
              <w:rPr>
                <w:sz w:val="20"/>
                <w:szCs w:val="20"/>
              </w:rPr>
              <w:t>Individual (voluntary)</w:t>
            </w:r>
          </w:p>
        </w:tc>
        <w:tc>
          <w:tcPr>
            <w:tcW w:w="1141" w:type="dxa"/>
            <w:vAlign w:val="center"/>
          </w:tcPr>
          <w:p w:rsidR="0039157C" w:rsidRPr="00FE24C0" w:rsidRDefault="00D97186" w:rsidP="00663A5A">
            <w:pPr>
              <w:jc w:val="center"/>
              <w:rPr>
                <w:sz w:val="20"/>
                <w:szCs w:val="20"/>
              </w:rPr>
            </w:pPr>
            <w:r w:rsidRPr="00FE24C0">
              <w:rPr>
                <w:sz w:val="20"/>
                <w:szCs w:val="20"/>
              </w:rPr>
              <w:t>YES</w:t>
            </w:r>
          </w:p>
        </w:tc>
        <w:tc>
          <w:tcPr>
            <w:tcW w:w="1350" w:type="dxa"/>
            <w:vAlign w:val="center"/>
          </w:tcPr>
          <w:p w:rsidR="0039157C" w:rsidRPr="00FE24C0" w:rsidRDefault="00D97186" w:rsidP="00663A5A">
            <w:pPr>
              <w:jc w:val="center"/>
              <w:rPr>
                <w:sz w:val="20"/>
                <w:szCs w:val="20"/>
              </w:rPr>
            </w:pPr>
            <w:r w:rsidRPr="00FE24C0">
              <w:rPr>
                <w:sz w:val="20"/>
                <w:szCs w:val="20"/>
              </w:rPr>
              <w:t>NOAA-AVHRR (1.1 km 2)</w:t>
            </w:r>
          </w:p>
        </w:tc>
        <w:tc>
          <w:tcPr>
            <w:tcW w:w="1843" w:type="dxa"/>
            <w:vAlign w:val="center"/>
          </w:tcPr>
          <w:p w:rsidR="0039157C" w:rsidRPr="00FE24C0" w:rsidRDefault="00D97186" w:rsidP="00663A5A">
            <w:pPr>
              <w:jc w:val="center"/>
              <w:rPr>
                <w:sz w:val="20"/>
                <w:szCs w:val="20"/>
              </w:rPr>
            </w:pPr>
            <w:r w:rsidRPr="00FE24C0">
              <w:rPr>
                <w:sz w:val="20"/>
                <w:szCs w:val="20"/>
              </w:rPr>
              <w:t>YES</w:t>
            </w:r>
          </w:p>
        </w:tc>
        <w:tc>
          <w:tcPr>
            <w:tcW w:w="1276" w:type="dxa"/>
            <w:vAlign w:val="center"/>
          </w:tcPr>
          <w:p w:rsidR="0039157C" w:rsidRPr="00FE24C0" w:rsidRDefault="0039157C" w:rsidP="00663A5A">
            <w:pPr>
              <w:jc w:val="center"/>
              <w:rPr>
                <w:sz w:val="20"/>
                <w:szCs w:val="20"/>
              </w:rPr>
            </w:pPr>
          </w:p>
        </w:tc>
      </w:tr>
      <w:tr w:rsidR="0039157C" w:rsidRPr="00FE24C0" w:rsidTr="00663A5A">
        <w:tc>
          <w:tcPr>
            <w:tcW w:w="1459" w:type="dxa"/>
            <w:vAlign w:val="center"/>
          </w:tcPr>
          <w:p w:rsidR="0039157C" w:rsidRPr="00FE24C0" w:rsidRDefault="00D97186" w:rsidP="00663A5A">
            <w:pPr>
              <w:jc w:val="center"/>
              <w:rPr>
                <w:sz w:val="20"/>
                <w:szCs w:val="20"/>
              </w:rPr>
            </w:pPr>
            <w:r w:rsidRPr="00FE24C0">
              <w:rPr>
                <w:sz w:val="20"/>
                <w:szCs w:val="20"/>
              </w:rPr>
              <w:t>Spain</w:t>
            </w:r>
          </w:p>
        </w:tc>
        <w:tc>
          <w:tcPr>
            <w:tcW w:w="1261" w:type="dxa"/>
            <w:vAlign w:val="center"/>
          </w:tcPr>
          <w:p w:rsidR="0039157C" w:rsidRPr="00FE24C0" w:rsidRDefault="00D97186" w:rsidP="00663A5A">
            <w:pPr>
              <w:jc w:val="center"/>
              <w:rPr>
                <w:sz w:val="20"/>
                <w:szCs w:val="20"/>
              </w:rPr>
            </w:pPr>
            <w:r w:rsidRPr="00FE24C0">
              <w:rPr>
                <w:sz w:val="20"/>
                <w:szCs w:val="20"/>
              </w:rPr>
              <w:t>Individual (voluntary)</w:t>
            </w:r>
          </w:p>
        </w:tc>
        <w:tc>
          <w:tcPr>
            <w:tcW w:w="1141" w:type="dxa"/>
            <w:vAlign w:val="center"/>
          </w:tcPr>
          <w:p w:rsidR="0039157C" w:rsidRPr="00FE24C0" w:rsidRDefault="00D97186" w:rsidP="00663A5A">
            <w:pPr>
              <w:jc w:val="center"/>
              <w:rPr>
                <w:sz w:val="20"/>
                <w:szCs w:val="20"/>
              </w:rPr>
            </w:pPr>
            <w:r w:rsidRPr="00FE24C0">
              <w:rPr>
                <w:sz w:val="20"/>
                <w:szCs w:val="20"/>
              </w:rPr>
              <w:t>YES</w:t>
            </w:r>
          </w:p>
        </w:tc>
        <w:tc>
          <w:tcPr>
            <w:tcW w:w="1350" w:type="dxa"/>
            <w:vAlign w:val="center"/>
          </w:tcPr>
          <w:p w:rsidR="0039157C" w:rsidRPr="00FE24C0" w:rsidRDefault="00D97186" w:rsidP="00663A5A">
            <w:pPr>
              <w:jc w:val="center"/>
              <w:rPr>
                <w:sz w:val="20"/>
                <w:szCs w:val="20"/>
              </w:rPr>
            </w:pPr>
            <w:r w:rsidRPr="00FE24C0">
              <w:rPr>
                <w:sz w:val="20"/>
                <w:szCs w:val="20"/>
              </w:rPr>
              <w:t>MODIS (250 x 250 metres)</w:t>
            </w:r>
          </w:p>
        </w:tc>
        <w:tc>
          <w:tcPr>
            <w:tcW w:w="1843" w:type="dxa"/>
            <w:vAlign w:val="center"/>
          </w:tcPr>
          <w:p w:rsidR="0039157C" w:rsidRPr="00FE24C0" w:rsidRDefault="00D97186" w:rsidP="00663A5A">
            <w:pPr>
              <w:jc w:val="center"/>
              <w:rPr>
                <w:sz w:val="20"/>
                <w:szCs w:val="20"/>
                <w:lang w:val="es-ES"/>
              </w:rPr>
            </w:pPr>
            <w:r w:rsidRPr="00FE24C0">
              <w:rPr>
                <w:sz w:val="20"/>
                <w:szCs w:val="20"/>
                <w:lang w:val="es-ES"/>
              </w:rPr>
              <w:t>YES Consorcio de Compensacion de Seguros (CCS)</w:t>
            </w:r>
          </w:p>
        </w:tc>
        <w:tc>
          <w:tcPr>
            <w:tcW w:w="1276" w:type="dxa"/>
            <w:vAlign w:val="center"/>
          </w:tcPr>
          <w:p w:rsidR="0039157C" w:rsidRPr="00FE24C0" w:rsidRDefault="00D97186" w:rsidP="00663A5A">
            <w:pPr>
              <w:jc w:val="center"/>
              <w:rPr>
                <w:sz w:val="20"/>
                <w:szCs w:val="20"/>
              </w:rPr>
            </w:pPr>
            <w:r w:rsidRPr="00FE24C0">
              <w:rPr>
                <w:sz w:val="20"/>
                <w:szCs w:val="20"/>
              </w:rPr>
              <w:t>7% of livestock insured</w:t>
            </w:r>
          </w:p>
        </w:tc>
      </w:tr>
      <w:tr w:rsidR="0039157C" w:rsidRPr="00FE24C0" w:rsidTr="00663A5A">
        <w:tc>
          <w:tcPr>
            <w:tcW w:w="1459" w:type="dxa"/>
            <w:vAlign w:val="center"/>
          </w:tcPr>
          <w:p w:rsidR="0039157C" w:rsidRPr="00FE24C0" w:rsidRDefault="00D97186" w:rsidP="00663A5A">
            <w:pPr>
              <w:jc w:val="center"/>
              <w:rPr>
                <w:sz w:val="20"/>
                <w:szCs w:val="20"/>
              </w:rPr>
            </w:pPr>
            <w:r w:rsidRPr="00FE24C0">
              <w:rPr>
                <w:sz w:val="20"/>
                <w:szCs w:val="20"/>
              </w:rPr>
              <w:t>Mexico</w:t>
            </w:r>
          </w:p>
        </w:tc>
        <w:tc>
          <w:tcPr>
            <w:tcW w:w="1261" w:type="dxa"/>
            <w:vAlign w:val="center"/>
          </w:tcPr>
          <w:p w:rsidR="0039157C" w:rsidRPr="00FE24C0" w:rsidRDefault="00D97186" w:rsidP="00663A5A">
            <w:pPr>
              <w:jc w:val="center"/>
              <w:rPr>
                <w:sz w:val="20"/>
                <w:szCs w:val="20"/>
              </w:rPr>
            </w:pPr>
            <w:r w:rsidRPr="00FE24C0">
              <w:rPr>
                <w:sz w:val="20"/>
                <w:szCs w:val="20"/>
              </w:rPr>
              <w:t>Government for small livestock producers</w:t>
            </w:r>
          </w:p>
        </w:tc>
        <w:tc>
          <w:tcPr>
            <w:tcW w:w="1141" w:type="dxa"/>
            <w:vAlign w:val="center"/>
          </w:tcPr>
          <w:p w:rsidR="0039157C" w:rsidRPr="00FE24C0" w:rsidRDefault="00D97186" w:rsidP="00663A5A">
            <w:pPr>
              <w:jc w:val="center"/>
              <w:rPr>
                <w:sz w:val="20"/>
                <w:szCs w:val="20"/>
              </w:rPr>
            </w:pPr>
            <w:r w:rsidRPr="00FE24C0">
              <w:rPr>
                <w:sz w:val="20"/>
                <w:szCs w:val="20"/>
              </w:rPr>
              <w:t>Government buys cover (100% subsidised)</w:t>
            </w:r>
          </w:p>
        </w:tc>
        <w:tc>
          <w:tcPr>
            <w:tcW w:w="1350" w:type="dxa"/>
            <w:vAlign w:val="center"/>
          </w:tcPr>
          <w:p w:rsidR="0039157C" w:rsidRPr="00FE24C0" w:rsidRDefault="00D97186" w:rsidP="00663A5A">
            <w:pPr>
              <w:jc w:val="center"/>
              <w:rPr>
                <w:sz w:val="20"/>
                <w:szCs w:val="20"/>
              </w:rPr>
            </w:pPr>
            <w:r w:rsidRPr="00FE24C0">
              <w:rPr>
                <w:sz w:val="20"/>
                <w:szCs w:val="20"/>
              </w:rPr>
              <w:t>NOAA-AVHRR (1.1 km 2)</w:t>
            </w:r>
          </w:p>
        </w:tc>
        <w:tc>
          <w:tcPr>
            <w:tcW w:w="1843" w:type="dxa"/>
            <w:vAlign w:val="center"/>
          </w:tcPr>
          <w:p w:rsidR="0039157C" w:rsidRPr="00FE24C0" w:rsidRDefault="00D97186" w:rsidP="00663A5A">
            <w:pPr>
              <w:jc w:val="center"/>
              <w:rPr>
                <w:sz w:val="20"/>
                <w:szCs w:val="20"/>
              </w:rPr>
            </w:pPr>
            <w:r w:rsidRPr="00FE24C0">
              <w:rPr>
                <w:sz w:val="20"/>
                <w:szCs w:val="20"/>
              </w:rPr>
              <w:t>YES. Agroasemex</w:t>
            </w:r>
          </w:p>
        </w:tc>
        <w:tc>
          <w:tcPr>
            <w:tcW w:w="1276" w:type="dxa"/>
            <w:vAlign w:val="center"/>
          </w:tcPr>
          <w:p w:rsidR="0039157C" w:rsidRPr="00FE24C0" w:rsidRDefault="00D97186" w:rsidP="00663A5A">
            <w:pPr>
              <w:jc w:val="center"/>
              <w:rPr>
                <w:sz w:val="20"/>
                <w:szCs w:val="20"/>
              </w:rPr>
            </w:pPr>
            <w:r w:rsidRPr="00FE24C0">
              <w:rPr>
                <w:sz w:val="20"/>
                <w:szCs w:val="20"/>
              </w:rPr>
              <w:t>60 million Ha in 20 states</w:t>
            </w:r>
          </w:p>
        </w:tc>
      </w:tr>
    </w:tbl>
    <w:p w:rsidR="0039157C" w:rsidRPr="00FE24C0" w:rsidRDefault="0039157C" w:rsidP="0039157C">
      <w:pPr>
        <w:ind w:left="360"/>
        <w:rPr>
          <w:b/>
          <w:szCs w:val="22"/>
        </w:rPr>
      </w:pPr>
    </w:p>
    <w:p w:rsidR="0039157C" w:rsidRPr="00FE24C0" w:rsidRDefault="0039157C" w:rsidP="00C64A37">
      <w:pPr>
        <w:rPr>
          <w:b/>
          <w:i/>
          <w:sz w:val="24"/>
        </w:rPr>
      </w:pPr>
      <w:r w:rsidRPr="00FE24C0">
        <w:rPr>
          <w:b/>
          <w:i/>
          <w:sz w:val="24"/>
        </w:rPr>
        <w:t>Scale of the Livestock (Cattle Sector in SWBA and the costs of major droughts</w:t>
      </w:r>
    </w:p>
    <w:p w:rsidR="0039157C" w:rsidRPr="00FE24C0" w:rsidRDefault="0039157C" w:rsidP="0039157C">
      <w:pPr>
        <w:rPr>
          <w:szCs w:val="22"/>
        </w:rPr>
      </w:pPr>
      <w:r w:rsidRPr="00FE24C0">
        <w:rPr>
          <w:szCs w:val="22"/>
        </w:rPr>
        <w:t xml:space="preserve">The key objective of the </w:t>
      </w:r>
      <w:r w:rsidRPr="00FE24C0">
        <w:t xml:space="preserve">SWBA Argentina </w:t>
      </w:r>
      <w:r w:rsidRPr="00FE24C0">
        <w:rPr>
          <w:szCs w:val="22"/>
        </w:rPr>
        <w:t xml:space="preserve">Livestock pasture-NDVI insurance scheme is to protect the </w:t>
      </w:r>
      <w:r w:rsidRPr="00FE24C0">
        <w:t xml:space="preserve">beef </w:t>
      </w:r>
      <w:r w:rsidRPr="00FE24C0">
        <w:rPr>
          <w:szCs w:val="22"/>
        </w:rPr>
        <w:t xml:space="preserve">cattle industry against catastrophic droughts which result in a major reduction in natural and planted pasture and grazing for the cattle and to ensure that the livestock producers receive timely insurance payments as the drought develops in order for them to purchase necessary fodder and supplementary feeds for their livestock during the period of the drought.  The indicative values </w:t>
      </w:r>
      <w:r w:rsidRPr="00FE24C0">
        <w:t xml:space="preserve">set out in this report </w:t>
      </w:r>
      <w:r w:rsidRPr="00FE24C0">
        <w:rPr>
          <w:szCs w:val="22"/>
        </w:rPr>
        <w:t xml:space="preserve">suggest that </w:t>
      </w:r>
      <w:r w:rsidRPr="00FE24C0">
        <w:t xml:space="preserve">the costs of supplementary feeds </w:t>
      </w:r>
      <w:r w:rsidRPr="00FE24C0">
        <w:rPr>
          <w:szCs w:val="22"/>
        </w:rPr>
        <w:t xml:space="preserve">may </w:t>
      </w:r>
      <w:r w:rsidRPr="00FE24C0">
        <w:t xml:space="preserve">be in </w:t>
      </w:r>
      <w:r w:rsidRPr="00FE24C0">
        <w:rPr>
          <w:szCs w:val="22"/>
        </w:rPr>
        <w:t xml:space="preserve">the order of about </w:t>
      </w:r>
      <w:r w:rsidRPr="00FE24C0">
        <w:t>AR$ 334 million (US$ 74 million)</w:t>
      </w:r>
      <w:r w:rsidRPr="00FE24C0">
        <w:rPr>
          <w:szCs w:val="22"/>
        </w:rPr>
        <w:t xml:space="preserve"> to </w:t>
      </w:r>
      <w:r w:rsidRPr="00FE24C0">
        <w:t xml:space="preserve">meet 50% of the full </w:t>
      </w:r>
      <w:r w:rsidR="00BB4B11" w:rsidRPr="00FE24C0">
        <w:t>nutritional</w:t>
      </w:r>
      <w:r w:rsidRPr="00FE24C0">
        <w:t xml:space="preserve"> requirements of </w:t>
      </w:r>
      <w:r w:rsidRPr="00FE24C0">
        <w:rPr>
          <w:szCs w:val="22"/>
        </w:rPr>
        <w:t xml:space="preserve">the </w:t>
      </w:r>
      <w:r w:rsidRPr="00FE24C0">
        <w:t>1.1 million registered cows and heifers in SWBA f</w:t>
      </w:r>
      <w:r w:rsidRPr="00FE24C0">
        <w:rPr>
          <w:szCs w:val="22"/>
        </w:rPr>
        <w:t>or 1</w:t>
      </w:r>
      <w:r w:rsidRPr="00FE24C0">
        <w:t>8</w:t>
      </w:r>
      <w:r w:rsidRPr="00FE24C0">
        <w:rPr>
          <w:szCs w:val="22"/>
        </w:rPr>
        <w:t xml:space="preserve">0 days in an extreme drought situation. </w:t>
      </w:r>
    </w:p>
    <w:p w:rsidR="0039157C" w:rsidRPr="00FE24C0" w:rsidRDefault="0039157C" w:rsidP="00C64A37">
      <w:pPr>
        <w:rPr>
          <w:b/>
          <w:i/>
          <w:sz w:val="24"/>
        </w:rPr>
      </w:pPr>
      <w:r w:rsidRPr="00FE24C0">
        <w:rPr>
          <w:b/>
          <w:i/>
          <w:sz w:val="24"/>
        </w:rPr>
        <w:t>Options for Government of Argentina support to Livestock NDVI Program</w:t>
      </w:r>
    </w:p>
    <w:p w:rsidR="0039157C" w:rsidRPr="00FE24C0" w:rsidRDefault="0039157C" w:rsidP="0039157C">
      <w:pPr>
        <w:rPr>
          <w:szCs w:val="22"/>
        </w:rPr>
      </w:pPr>
      <w:r w:rsidRPr="00FE24C0">
        <w:rPr>
          <w:szCs w:val="22"/>
        </w:rPr>
        <w:t>The advantages and disadvantages of each option are listed below.</w:t>
      </w:r>
    </w:p>
    <w:p w:rsidR="0039157C" w:rsidRPr="00FE24C0" w:rsidRDefault="0039157C" w:rsidP="00663A5A">
      <w:pPr>
        <w:rPr>
          <w:b/>
          <w:i/>
        </w:rPr>
      </w:pPr>
      <w:proofErr w:type="gramStart"/>
      <w:r w:rsidRPr="00FE24C0">
        <w:rPr>
          <w:b/>
          <w:i/>
        </w:rPr>
        <w:t>Option 1.</w:t>
      </w:r>
      <w:proofErr w:type="gramEnd"/>
      <w:r w:rsidRPr="00FE24C0">
        <w:rPr>
          <w:b/>
          <w:i/>
        </w:rPr>
        <w:t xml:space="preserve">  Micro-Level Voluntary Insurance Program and no government support</w:t>
      </w:r>
    </w:p>
    <w:p w:rsidR="0039157C" w:rsidRPr="00FE24C0" w:rsidRDefault="0039157C" w:rsidP="0039157C">
      <w:pPr>
        <w:rPr>
          <w:szCs w:val="22"/>
        </w:rPr>
      </w:pPr>
      <w:r w:rsidRPr="00FE24C0">
        <w:rPr>
          <w:szCs w:val="22"/>
        </w:rPr>
        <w:t>Under this option, the government through O</w:t>
      </w:r>
      <w:r w:rsidRPr="00FE24C0">
        <w:t>RA</w:t>
      </w:r>
      <w:r w:rsidR="00BB4B11" w:rsidRPr="00FE24C0">
        <w:rPr>
          <w:szCs w:val="22"/>
        </w:rPr>
        <w:t>-</w:t>
      </w:r>
      <w:r w:rsidR="00AD4EDA" w:rsidRPr="00FE24C0">
        <w:rPr>
          <w:szCs w:val="22"/>
        </w:rPr>
        <w:t>MAGyP</w:t>
      </w:r>
      <w:r w:rsidRPr="00FE24C0">
        <w:rPr>
          <w:szCs w:val="22"/>
        </w:rPr>
        <w:t xml:space="preserve"> would assist the livestock sector and insurance companies in the design stage of the product only.  After this the insurance companies would be free to market the livestock NDVI-pasture drought policy as an individual framer policy to any livestock producers they wished to do so on a purely voluntary basis.  Government would not, however, provide any form of financial assistance, either in the form of premium subsidies and or assistance with reinsurance financing.  </w:t>
      </w:r>
    </w:p>
    <w:p w:rsidR="0039157C" w:rsidRDefault="0039157C" w:rsidP="0039157C">
      <w:pPr>
        <w:rPr>
          <w:szCs w:val="22"/>
        </w:rPr>
      </w:pPr>
      <w:r w:rsidRPr="00FE24C0">
        <w:rPr>
          <w:szCs w:val="22"/>
        </w:rPr>
        <w:t xml:space="preserve">The </w:t>
      </w:r>
      <w:r w:rsidRPr="00FE24C0">
        <w:t>Argentinean</w:t>
      </w:r>
      <w:r w:rsidRPr="00FE24C0">
        <w:rPr>
          <w:szCs w:val="22"/>
        </w:rPr>
        <w:t xml:space="preserve"> insurance companies could either (i) act singly, marketing their own livestock NDVI policies and placing their own reinsurance requirements with international reinsurers and with each company making arrangements with a third party remote sensing specialist to provide them with real-time NDVI reporting during the insurance cover period and on which basis insurance payouts would be made or (ii) to form a</w:t>
      </w:r>
      <w:r w:rsidRPr="00FE24C0">
        <w:t>n Argentinean</w:t>
      </w:r>
      <w:r w:rsidRPr="00FE24C0">
        <w:rPr>
          <w:szCs w:val="22"/>
        </w:rPr>
        <w:t xml:space="preserve"> Livestock NDVI coinsurance pool.  In this latter instance the rationale of forming a coinsurance Pool would centre on (a) the reduced costs of marketing and sales, contracting of a remote sensing specialist and (b) the reduced costs of purchasing a singl</w:t>
      </w:r>
      <w:r w:rsidR="00843EDE">
        <w:rPr>
          <w:szCs w:val="22"/>
        </w:rPr>
        <w:t>e pooled reinsurance program.  (</w:t>
      </w:r>
      <w:r w:rsidRPr="00FE24C0">
        <w:rPr>
          <w:szCs w:val="22"/>
        </w:rPr>
        <w:t xml:space="preserve">See Figure </w:t>
      </w:r>
      <w:r w:rsidRPr="00FE24C0">
        <w:t>A4.</w:t>
      </w:r>
      <w:r w:rsidRPr="00FE24C0">
        <w:rPr>
          <w:szCs w:val="22"/>
        </w:rPr>
        <w:t>1).</w:t>
      </w:r>
    </w:p>
    <w:p w:rsidR="00843EDE" w:rsidRDefault="00843EDE" w:rsidP="0039157C">
      <w:pPr>
        <w:rPr>
          <w:szCs w:val="22"/>
        </w:rPr>
      </w:pPr>
    </w:p>
    <w:p w:rsidR="00843EDE" w:rsidRDefault="00843EDE" w:rsidP="0039157C">
      <w:pPr>
        <w:rPr>
          <w:szCs w:val="22"/>
        </w:rPr>
      </w:pPr>
    </w:p>
    <w:p w:rsidR="00843EDE" w:rsidRDefault="00843EDE" w:rsidP="0039157C">
      <w:pPr>
        <w:rPr>
          <w:szCs w:val="22"/>
        </w:rPr>
      </w:pPr>
    </w:p>
    <w:p w:rsidR="00843EDE" w:rsidRDefault="00843EDE" w:rsidP="0039157C">
      <w:pPr>
        <w:rPr>
          <w:szCs w:val="22"/>
        </w:rPr>
      </w:pPr>
    </w:p>
    <w:p w:rsidR="00843EDE" w:rsidRDefault="00843EDE" w:rsidP="0039157C">
      <w:pPr>
        <w:rPr>
          <w:szCs w:val="22"/>
        </w:rPr>
      </w:pPr>
    </w:p>
    <w:p w:rsidR="00843EDE" w:rsidRDefault="00843EDE" w:rsidP="0039157C">
      <w:pPr>
        <w:rPr>
          <w:szCs w:val="22"/>
        </w:rPr>
      </w:pPr>
    </w:p>
    <w:p w:rsidR="00843EDE" w:rsidRPr="00FE24C0" w:rsidRDefault="00843EDE" w:rsidP="0039157C">
      <w:pPr>
        <w:rPr>
          <w:szCs w:val="22"/>
        </w:rPr>
      </w:pPr>
    </w:p>
    <w:p w:rsidR="0039157C" w:rsidRPr="00FE24C0" w:rsidRDefault="0039157C" w:rsidP="0039157C">
      <w:pPr>
        <w:rPr>
          <w:b/>
          <w:szCs w:val="22"/>
        </w:rPr>
      </w:pPr>
      <w:r w:rsidRPr="00FE24C0">
        <w:rPr>
          <w:b/>
          <w:szCs w:val="22"/>
        </w:rPr>
        <w:lastRenderedPageBreak/>
        <w:t xml:space="preserve">Figure </w:t>
      </w:r>
      <w:r w:rsidRPr="00FE24C0">
        <w:rPr>
          <w:b/>
        </w:rPr>
        <w:t>A4.</w:t>
      </w:r>
      <w:r w:rsidRPr="00FE24C0">
        <w:rPr>
          <w:b/>
          <w:szCs w:val="22"/>
        </w:rPr>
        <w:t xml:space="preserve">1. Option 1 Organizational </w:t>
      </w:r>
      <w:proofErr w:type="gramStart"/>
      <w:r w:rsidRPr="00FE24C0">
        <w:rPr>
          <w:b/>
          <w:szCs w:val="22"/>
        </w:rPr>
        <w:t>Arrangements</w:t>
      </w:r>
      <w:proofErr w:type="gramEnd"/>
      <w:r w:rsidRPr="00FE24C0">
        <w:rPr>
          <w:b/>
          <w:szCs w:val="22"/>
        </w:rPr>
        <w:t xml:space="preserve"> for a Voluntary Livestock NDVI-Pasture Scheme </w:t>
      </w:r>
    </w:p>
    <w:p w:rsidR="0079701E" w:rsidRPr="00FE24C0" w:rsidRDefault="00130500" w:rsidP="0039157C">
      <w:pPr>
        <w:rPr>
          <w:b/>
        </w:rPr>
      </w:pPr>
      <w:r w:rsidRPr="00FE24C0">
        <w:rPr>
          <w:b/>
          <w:noProof/>
          <w:szCs w:val="22"/>
          <w:lang w:val="es-AR" w:eastAsia="es-AR"/>
        </w:rPr>
        <w:drawing>
          <wp:inline distT="0" distB="0" distL="0" distR="0">
            <wp:extent cx="4572000" cy="3423920"/>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srcRect/>
                    <a:stretch>
                      <a:fillRect/>
                    </a:stretch>
                  </pic:blipFill>
                  <pic:spPr bwMode="auto">
                    <a:xfrm>
                      <a:off x="0" y="0"/>
                      <a:ext cx="4572000" cy="3423920"/>
                    </a:xfrm>
                    <a:prstGeom prst="rect">
                      <a:avLst/>
                    </a:prstGeom>
                    <a:noFill/>
                    <a:ln w="9525">
                      <a:noFill/>
                      <a:miter lim="800000"/>
                      <a:headEnd/>
                      <a:tailEnd/>
                    </a:ln>
                  </pic:spPr>
                </pic:pic>
              </a:graphicData>
            </a:graphic>
          </wp:inline>
        </w:drawing>
      </w:r>
    </w:p>
    <w:p w:rsidR="0039157C" w:rsidRPr="00FE24C0" w:rsidRDefault="0039157C" w:rsidP="0039157C">
      <w:pPr>
        <w:rPr>
          <w:szCs w:val="22"/>
        </w:rPr>
      </w:pPr>
      <w:r w:rsidRPr="00FE24C0">
        <w:rPr>
          <w:szCs w:val="22"/>
        </w:rPr>
        <w:t xml:space="preserve">It is however, highly unlikely that the </w:t>
      </w:r>
      <w:r w:rsidRPr="00FE24C0">
        <w:t xml:space="preserve">Argentinean </w:t>
      </w:r>
      <w:r w:rsidRPr="00FE24C0">
        <w:rPr>
          <w:szCs w:val="22"/>
        </w:rPr>
        <w:t>Insurance Companies would agree to a purely voluntary scheme for the following reasons</w:t>
      </w:r>
      <w:r w:rsidRPr="00FE24C0">
        <w:t xml:space="preserve"> which they have identified in the conduct of this Feasibility Study</w:t>
      </w:r>
      <w:r w:rsidRPr="00FE24C0">
        <w:rPr>
          <w:szCs w:val="22"/>
        </w:rPr>
        <w:t>:</w:t>
      </w:r>
    </w:p>
    <w:p w:rsidR="0039157C" w:rsidRPr="00FE24C0" w:rsidRDefault="0039157C" w:rsidP="00593B59">
      <w:pPr>
        <w:pStyle w:val="Prrafodelista"/>
        <w:numPr>
          <w:ilvl w:val="0"/>
          <w:numId w:val="10"/>
        </w:numPr>
        <w:rPr>
          <w:rFonts w:ascii="Times New Roman" w:hAnsi="Times New Roman"/>
        </w:rPr>
      </w:pPr>
      <w:r w:rsidRPr="00FE24C0">
        <w:rPr>
          <w:rFonts w:ascii="Times New Roman" w:hAnsi="Times New Roman"/>
        </w:rPr>
        <w:t xml:space="preserve">Given the fact that the NDVI product is being designed using satellite imagery with a spatial resolution of 5 km x 5 Km (2,500 Ha) and to then indemnify pasture losses at a Cuartel level or several tens of thousands of hectares, it is not best suited to being marketed as an individual livestock producer pasture-drought cover because it will not be able to distinguish pasture-grazing losses at the individual farmer and field level.  Rather it is intended to cover catastrophe regional (e.g. at Cuartel and Department level) drought impacts on pasture production and grazing quality. </w:t>
      </w:r>
    </w:p>
    <w:p w:rsidR="0039157C" w:rsidRPr="00FE24C0" w:rsidRDefault="0039157C" w:rsidP="00593B59">
      <w:pPr>
        <w:pStyle w:val="Prrafodelista"/>
        <w:numPr>
          <w:ilvl w:val="0"/>
          <w:numId w:val="10"/>
        </w:numPr>
        <w:rPr>
          <w:rFonts w:ascii="Times New Roman" w:hAnsi="Times New Roman"/>
        </w:rPr>
      </w:pPr>
      <w:r w:rsidRPr="00FE24C0">
        <w:rPr>
          <w:rFonts w:ascii="Times New Roman" w:hAnsi="Times New Roman"/>
        </w:rPr>
        <w:t>To distinguish pasture-grazing losses at the individual farmer and field level it would be necessary to perform previous inspections to see what is on the ground (i</w:t>
      </w:r>
      <w:r w:rsidR="00BB4B11" w:rsidRPr="00FE24C0">
        <w:rPr>
          <w:rFonts w:ascii="Times New Roman" w:hAnsi="Times New Roman"/>
        </w:rPr>
        <w:t>.</w:t>
      </w:r>
      <w:r w:rsidRPr="00FE24C0">
        <w:rPr>
          <w:rFonts w:ascii="Times New Roman" w:hAnsi="Times New Roman"/>
        </w:rPr>
        <w:t xml:space="preserve">e: resources and animal load) and to follow up the cattle and pasture management </w:t>
      </w:r>
      <w:r w:rsidR="00BB4B11" w:rsidRPr="00FE24C0">
        <w:rPr>
          <w:rFonts w:ascii="Times New Roman" w:hAnsi="Times New Roman"/>
        </w:rPr>
        <w:t>implemented</w:t>
      </w:r>
      <w:r w:rsidRPr="00FE24C0">
        <w:rPr>
          <w:rFonts w:ascii="Times New Roman" w:hAnsi="Times New Roman"/>
        </w:rPr>
        <w:t xml:space="preserve"> by the </w:t>
      </w:r>
      <w:r w:rsidR="00CC2734" w:rsidRPr="00FE24C0">
        <w:rPr>
          <w:rFonts w:ascii="Times New Roman" w:hAnsi="Times New Roman"/>
        </w:rPr>
        <w:t>I</w:t>
      </w:r>
      <w:r w:rsidRPr="00FE24C0">
        <w:rPr>
          <w:rFonts w:ascii="Times New Roman" w:hAnsi="Times New Roman"/>
        </w:rPr>
        <w:t xml:space="preserve">nsured. Owing to the low insured value per insured cow and per hectare potentially involved in this coverage, the transaction cost of performing such activities is very high. </w:t>
      </w:r>
    </w:p>
    <w:p w:rsidR="0039157C" w:rsidRPr="00FE24C0" w:rsidRDefault="0039157C" w:rsidP="00593B59">
      <w:pPr>
        <w:pStyle w:val="Prrafodelista"/>
        <w:numPr>
          <w:ilvl w:val="0"/>
          <w:numId w:val="10"/>
        </w:numPr>
        <w:rPr>
          <w:rFonts w:ascii="Times New Roman" w:hAnsi="Times New Roman"/>
        </w:rPr>
      </w:pPr>
      <w:r w:rsidRPr="00FE24C0">
        <w:rPr>
          <w:rFonts w:ascii="Times New Roman" w:hAnsi="Times New Roman"/>
        </w:rPr>
        <w:t xml:space="preserve">The high design and start-up costs of such a program mean the companies are unlikely to be willing to cover these costs under a purely voluntary program where they have no </w:t>
      </w:r>
      <w:r w:rsidR="00455E50" w:rsidRPr="00FE24C0">
        <w:rPr>
          <w:rFonts w:ascii="Times New Roman" w:hAnsi="Times New Roman"/>
        </w:rPr>
        <w:t>a priori</w:t>
      </w:r>
      <w:r w:rsidRPr="00FE24C0">
        <w:rPr>
          <w:rFonts w:ascii="Times New Roman" w:hAnsi="Times New Roman"/>
        </w:rPr>
        <w:t xml:space="preserve"> knowledge of the likely demand for this new product.</w:t>
      </w:r>
    </w:p>
    <w:p w:rsidR="0039157C" w:rsidRPr="00FE24C0" w:rsidRDefault="0039157C" w:rsidP="00593B59">
      <w:pPr>
        <w:pStyle w:val="Prrafodelista"/>
        <w:numPr>
          <w:ilvl w:val="0"/>
          <w:numId w:val="10"/>
        </w:numPr>
        <w:rPr>
          <w:rFonts w:ascii="Times New Roman" w:hAnsi="Times New Roman"/>
        </w:rPr>
      </w:pPr>
      <w:r w:rsidRPr="00FE24C0">
        <w:rPr>
          <w:rFonts w:ascii="Times New Roman" w:hAnsi="Times New Roman"/>
        </w:rPr>
        <w:t>The insurers believe that without government premium subsidy support, the demand for this NDVI cover will be very low by livestock producers.</w:t>
      </w:r>
    </w:p>
    <w:p w:rsidR="0039157C" w:rsidRPr="00FE24C0" w:rsidRDefault="0039157C" w:rsidP="00593B59">
      <w:pPr>
        <w:pStyle w:val="Prrafodelista"/>
        <w:numPr>
          <w:ilvl w:val="0"/>
          <w:numId w:val="10"/>
        </w:numPr>
        <w:rPr>
          <w:rFonts w:ascii="Times New Roman" w:hAnsi="Times New Roman"/>
        </w:rPr>
      </w:pPr>
      <w:r w:rsidRPr="00FE24C0">
        <w:rPr>
          <w:rFonts w:ascii="Times New Roman" w:hAnsi="Times New Roman"/>
        </w:rPr>
        <w:t>Given the catastrophe nature of drought in pasture, insurers are reluctant to support such an initiative without complementary technical and financial assistance from the public sector.</w:t>
      </w:r>
    </w:p>
    <w:p w:rsidR="00C4787A" w:rsidRPr="00FE24C0" w:rsidRDefault="00C4787A" w:rsidP="0039157C">
      <w:pPr>
        <w:rPr>
          <w:b/>
          <w:i/>
          <w:szCs w:val="22"/>
        </w:rPr>
      </w:pPr>
    </w:p>
    <w:p w:rsidR="0039157C" w:rsidRPr="00FE24C0" w:rsidRDefault="0039157C" w:rsidP="0039157C">
      <w:pPr>
        <w:rPr>
          <w:b/>
          <w:i/>
          <w:szCs w:val="22"/>
        </w:rPr>
      </w:pPr>
      <w:proofErr w:type="gramStart"/>
      <w:r w:rsidRPr="00FE24C0">
        <w:rPr>
          <w:b/>
          <w:i/>
          <w:szCs w:val="22"/>
        </w:rPr>
        <w:t>Option 2.</w:t>
      </w:r>
      <w:proofErr w:type="gramEnd"/>
      <w:r w:rsidRPr="00FE24C0">
        <w:rPr>
          <w:b/>
          <w:i/>
          <w:szCs w:val="22"/>
        </w:rPr>
        <w:t xml:space="preserve">  Micro-Level Voluntary Insurance Program and Government Premium Subsidy support</w:t>
      </w:r>
    </w:p>
    <w:p w:rsidR="0039157C" w:rsidRPr="00FE24C0" w:rsidRDefault="0039157C" w:rsidP="0039157C">
      <w:pPr>
        <w:rPr>
          <w:szCs w:val="22"/>
        </w:rPr>
      </w:pPr>
      <w:r w:rsidRPr="00FE24C0">
        <w:rPr>
          <w:szCs w:val="22"/>
        </w:rPr>
        <w:t>Under this scenario, it is assumed that the NDVI scheme would continue to be a voluntary individual f</w:t>
      </w:r>
      <w:r w:rsidR="005E674B" w:rsidRPr="00FE24C0">
        <w:rPr>
          <w:szCs w:val="22"/>
        </w:rPr>
        <w:t>a</w:t>
      </w:r>
      <w:r w:rsidRPr="00FE24C0">
        <w:rPr>
          <w:szCs w:val="22"/>
        </w:rPr>
        <w:t xml:space="preserve">rmer (micro-level) insurance scheme underwritten either by insurance companies separately, or as an industry coinsurance pool.  The only difference would be in this case that government through </w:t>
      </w:r>
      <w:r w:rsidR="00AD4EDA" w:rsidRPr="00FE24C0">
        <w:rPr>
          <w:szCs w:val="22"/>
        </w:rPr>
        <w:t>MAGyP</w:t>
      </w:r>
      <w:r w:rsidRPr="00FE24C0">
        <w:rPr>
          <w:szCs w:val="22"/>
        </w:rPr>
        <w:t xml:space="preserve"> would actively support the NDVI scheme in the form of </w:t>
      </w:r>
      <w:r w:rsidRPr="00FE24C0">
        <w:rPr>
          <w:b/>
          <w:i/>
          <w:szCs w:val="22"/>
        </w:rPr>
        <w:t xml:space="preserve">Premium Subsidies </w:t>
      </w:r>
      <w:r w:rsidRPr="00FE24C0">
        <w:rPr>
          <w:szCs w:val="22"/>
        </w:rPr>
        <w:t xml:space="preserve">(See Figure </w:t>
      </w:r>
      <w:r w:rsidRPr="00FE24C0">
        <w:t>A4.</w:t>
      </w:r>
      <w:r w:rsidRPr="00FE24C0">
        <w:rPr>
          <w:szCs w:val="22"/>
        </w:rPr>
        <w:t>2).</w:t>
      </w:r>
    </w:p>
    <w:p w:rsidR="0039157C" w:rsidRPr="00FE24C0" w:rsidRDefault="0039157C" w:rsidP="0039157C">
      <w:pPr>
        <w:rPr>
          <w:b/>
        </w:rPr>
      </w:pPr>
      <w:r w:rsidRPr="00FE24C0">
        <w:rPr>
          <w:b/>
          <w:szCs w:val="22"/>
        </w:rPr>
        <w:t xml:space="preserve">Figure </w:t>
      </w:r>
      <w:r w:rsidRPr="00FE24C0">
        <w:rPr>
          <w:b/>
        </w:rPr>
        <w:t>A4.</w:t>
      </w:r>
      <w:r w:rsidRPr="00FE24C0">
        <w:rPr>
          <w:b/>
          <w:szCs w:val="22"/>
        </w:rPr>
        <w:t xml:space="preserve">2. Option </w:t>
      </w:r>
      <w:r w:rsidRPr="00FE24C0">
        <w:rPr>
          <w:b/>
        </w:rPr>
        <w:t>2</w:t>
      </w:r>
      <w:r w:rsidRPr="00FE24C0">
        <w:rPr>
          <w:b/>
          <w:szCs w:val="22"/>
        </w:rPr>
        <w:t xml:space="preserve"> Organizational Arrangements for a Voluntary Livestock NDVI-Pasture Scheme with Government Premium Subsidy support </w:t>
      </w:r>
    </w:p>
    <w:p w:rsidR="0039157C" w:rsidRPr="00FE24C0" w:rsidRDefault="000C6233" w:rsidP="0039157C">
      <w:pPr>
        <w:jc w:val="center"/>
        <w:rPr>
          <w:b/>
        </w:rPr>
      </w:pPr>
      <w:r w:rsidRPr="00FE24C0">
        <w:rPr>
          <w:b/>
          <w:noProof/>
          <w:lang w:val="es-AR" w:eastAsia="es-AR"/>
        </w:rPr>
        <w:drawing>
          <wp:inline distT="0" distB="0" distL="0" distR="0">
            <wp:extent cx="4191000" cy="3143250"/>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6"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39157C" w:rsidRPr="00FE24C0" w:rsidRDefault="0039157C" w:rsidP="0039157C">
      <w:pPr>
        <w:rPr>
          <w:szCs w:val="22"/>
        </w:rPr>
      </w:pPr>
      <w:r w:rsidRPr="00FE24C0">
        <w:rPr>
          <w:szCs w:val="22"/>
        </w:rPr>
        <w:t xml:space="preserve">The main advantage of premium subsidies is that these should enable the insurer (pool of insurers) to market the product more readily to </w:t>
      </w:r>
      <w:r w:rsidR="008D761F" w:rsidRPr="00FE24C0">
        <w:rPr>
          <w:szCs w:val="22"/>
        </w:rPr>
        <w:t xml:space="preserve">Argentinean </w:t>
      </w:r>
      <w:r w:rsidRPr="00FE24C0">
        <w:rPr>
          <w:szCs w:val="22"/>
        </w:rPr>
        <w:t xml:space="preserve">livestock producers and to achieve a higher level of uptake and penetration than under the voluntary non-subsidised option 1.  This model is in place in Canada, USA and Spain. In the three countries, even with the existence of premium subsidies the penetration of NDVI is very low.  </w:t>
      </w:r>
    </w:p>
    <w:p w:rsidR="0039157C" w:rsidRPr="00FE24C0" w:rsidRDefault="0039157C" w:rsidP="0039157C">
      <w:pPr>
        <w:rPr>
          <w:b/>
          <w:i/>
          <w:szCs w:val="22"/>
        </w:rPr>
      </w:pPr>
      <w:proofErr w:type="gramStart"/>
      <w:r w:rsidRPr="00FE24C0">
        <w:rPr>
          <w:b/>
          <w:i/>
          <w:szCs w:val="22"/>
        </w:rPr>
        <w:t>Option 3.</w:t>
      </w:r>
      <w:proofErr w:type="gramEnd"/>
      <w:r w:rsidRPr="00FE24C0">
        <w:rPr>
          <w:b/>
          <w:i/>
          <w:szCs w:val="22"/>
        </w:rPr>
        <w:t xml:space="preserve">  Macro-Level National Livestock NDVI-pasture Drought Insurance Program purchased by Government on behalf of the Cattle Industry</w:t>
      </w:r>
    </w:p>
    <w:p w:rsidR="0039157C" w:rsidRPr="00FE24C0" w:rsidRDefault="0039157C" w:rsidP="0039157C">
      <w:pPr>
        <w:rPr>
          <w:szCs w:val="22"/>
        </w:rPr>
      </w:pPr>
      <w:r w:rsidRPr="00FE24C0">
        <w:rPr>
          <w:szCs w:val="22"/>
        </w:rPr>
        <w:t xml:space="preserve">This </w:t>
      </w:r>
      <w:r w:rsidRPr="00FE24C0">
        <w:t xml:space="preserve">macro-level </w:t>
      </w:r>
      <w:r w:rsidRPr="00FE24C0">
        <w:rPr>
          <w:szCs w:val="22"/>
        </w:rPr>
        <w:t xml:space="preserve">option </w:t>
      </w:r>
      <w:r w:rsidRPr="00FE24C0">
        <w:t xml:space="preserve">is the recommended model for the SWBA pasture insurance program and is similar to the </w:t>
      </w:r>
      <w:r w:rsidR="008D761F" w:rsidRPr="00FE24C0">
        <w:t>Mexican</w:t>
      </w:r>
      <w:r w:rsidRPr="00FE24C0">
        <w:t xml:space="preserve"> NDVI pasture program</w:t>
      </w:r>
      <w:r w:rsidRPr="00FE24C0">
        <w:rPr>
          <w:szCs w:val="22"/>
        </w:rPr>
        <w:t xml:space="preserve">.  Under this Option, </w:t>
      </w:r>
      <w:r w:rsidRPr="00FE24C0">
        <w:t>G</w:t>
      </w:r>
      <w:r w:rsidRPr="00FE24C0">
        <w:rPr>
          <w:szCs w:val="22"/>
        </w:rPr>
        <w:t xml:space="preserve">overnment </w:t>
      </w:r>
      <w:r w:rsidRPr="00FE24C0">
        <w:t xml:space="preserve">of Argentina or the Provincial Government of Buenos Aires </w:t>
      </w:r>
      <w:r w:rsidRPr="00FE24C0">
        <w:rPr>
          <w:szCs w:val="22"/>
        </w:rPr>
        <w:t xml:space="preserve">would purchase an annual NDVI pasture policy </w:t>
      </w:r>
      <w:r w:rsidRPr="00FE24C0">
        <w:t xml:space="preserve">on behalf of </w:t>
      </w:r>
      <w:r w:rsidRPr="00FE24C0">
        <w:rPr>
          <w:szCs w:val="22"/>
        </w:rPr>
        <w:t>the cattle sector</w:t>
      </w:r>
      <w:r w:rsidRPr="00FE24C0">
        <w:t xml:space="preserve"> in SWBA</w:t>
      </w:r>
      <w:r w:rsidRPr="00FE24C0">
        <w:rPr>
          <w:szCs w:val="22"/>
        </w:rPr>
        <w:t xml:space="preserve">: government would be the </w:t>
      </w:r>
      <w:r w:rsidRPr="00FE24C0">
        <w:t>I</w:t>
      </w:r>
      <w:r w:rsidRPr="00FE24C0">
        <w:rPr>
          <w:szCs w:val="22"/>
        </w:rPr>
        <w:t xml:space="preserve">nsured and would </w:t>
      </w:r>
      <w:r w:rsidRPr="00FE24C0">
        <w:t xml:space="preserve">be responsible for </w:t>
      </w:r>
      <w:r w:rsidRPr="00FE24C0">
        <w:rPr>
          <w:szCs w:val="22"/>
        </w:rPr>
        <w:t>pay</w:t>
      </w:r>
      <w:r w:rsidRPr="00FE24C0">
        <w:t>ing</w:t>
      </w:r>
      <w:r w:rsidRPr="00FE24C0">
        <w:rPr>
          <w:szCs w:val="22"/>
        </w:rPr>
        <w:t xml:space="preserve"> the premium for this policy.  In this case it is assumed that on account of the scale of the program insuring </w:t>
      </w:r>
      <w:r w:rsidRPr="00FE24C0">
        <w:t xml:space="preserve">about 8,000 </w:t>
      </w:r>
      <w:r w:rsidRPr="00FE24C0">
        <w:rPr>
          <w:szCs w:val="22"/>
        </w:rPr>
        <w:t>cattle producers and 1</w:t>
      </w:r>
      <w:r w:rsidRPr="00FE24C0">
        <w:t>.1</w:t>
      </w:r>
      <w:r w:rsidRPr="00FE24C0">
        <w:rPr>
          <w:szCs w:val="22"/>
        </w:rPr>
        <w:t xml:space="preserve"> million head of c</w:t>
      </w:r>
      <w:r w:rsidRPr="00FE24C0">
        <w:t xml:space="preserve">ows and heifers with TSI estimated at about AR$ 334 million (US$ 74 million) </w:t>
      </w:r>
      <w:r w:rsidRPr="00FE24C0">
        <w:rPr>
          <w:szCs w:val="22"/>
        </w:rPr>
        <w:t xml:space="preserve">that the Insurance companies would elect to form a coinsurance pool.  </w:t>
      </w:r>
      <w:r w:rsidRPr="00FE24C0">
        <w:t xml:space="preserve">Under the procedures set out in Chapters 5 and 6 of this report, </w:t>
      </w:r>
      <w:r w:rsidRPr="00FE24C0">
        <w:lastRenderedPageBreak/>
        <w:t>t</w:t>
      </w:r>
      <w:r w:rsidRPr="00FE24C0">
        <w:rPr>
          <w:szCs w:val="22"/>
        </w:rPr>
        <w:t xml:space="preserve">he Insurers would use the </w:t>
      </w:r>
      <w:r w:rsidRPr="00FE24C0">
        <w:t xml:space="preserve">SENASA </w:t>
      </w:r>
      <w:r w:rsidRPr="00FE24C0">
        <w:rPr>
          <w:szCs w:val="22"/>
        </w:rPr>
        <w:t xml:space="preserve">national livestock register to list each and every livestock producer </w:t>
      </w:r>
      <w:r w:rsidRPr="00FE24C0">
        <w:t xml:space="preserve">(“the beneficiaries”) </w:t>
      </w:r>
      <w:r w:rsidRPr="00FE24C0">
        <w:rPr>
          <w:szCs w:val="22"/>
        </w:rPr>
        <w:t xml:space="preserve">in the </w:t>
      </w:r>
      <w:r w:rsidRPr="00FE24C0">
        <w:t xml:space="preserve">insured Cuartels in each of the 12 </w:t>
      </w:r>
      <w:r w:rsidR="00865CC5">
        <w:t>Departments</w:t>
      </w:r>
      <w:r w:rsidRPr="00FE24C0">
        <w:t xml:space="preserve"> in SWBA including details of </w:t>
      </w:r>
      <w:r w:rsidRPr="00FE24C0">
        <w:rPr>
          <w:szCs w:val="22"/>
        </w:rPr>
        <w:t xml:space="preserve">their </w:t>
      </w:r>
      <w:r w:rsidRPr="00FE24C0">
        <w:t xml:space="preserve">individual </w:t>
      </w:r>
      <w:r w:rsidRPr="00FE24C0">
        <w:rPr>
          <w:szCs w:val="22"/>
        </w:rPr>
        <w:t>livestock holding</w:t>
      </w:r>
      <w:r w:rsidRPr="00FE24C0">
        <w:t xml:space="preserve"> (numbers of insured cows and heifers) and sum insured.  </w:t>
      </w:r>
      <w:r w:rsidRPr="00FE24C0">
        <w:rPr>
          <w:szCs w:val="22"/>
        </w:rPr>
        <w:t xml:space="preserve">In the event of NDVI drought (or other natural peril) losses being triggered in any </w:t>
      </w:r>
      <w:r w:rsidRPr="00FE24C0">
        <w:t>Cuartel during a particular month(s) of the cover period,</w:t>
      </w:r>
      <w:r w:rsidRPr="00FE24C0">
        <w:rPr>
          <w:szCs w:val="22"/>
        </w:rPr>
        <w:t xml:space="preserve"> </w:t>
      </w:r>
      <w:r w:rsidRPr="00FE24C0">
        <w:t xml:space="preserve">the </w:t>
      </w:r>
      <w:r w:rsidRPr="00FE24C0">
        <w:rPr>
          <w:szCs w:val="22"/>
        </w:rPr>
        <w:t xml:space="preserve">indemnity due would </w:t>
      </w:r>
      <w:r w:rsidRPr="00FE24C0">
        <w:t xml:space="preserve">be calculated for each livestock producer in the affected Cuartel according to his sum insured and the Pool Insurers would either 1) settle the payouts either as lump sum to the Insured (government or </w:t>
      </w:r>
      <w:r w:rsidRPr="00FE24C0">
        <w:rPr>
          <w:szCs w:val="22"/>
        </w:rPr>
        <w:t xml:space="preserve">its representative e.g. MGAP) to then distribute to the affected farmers, or </w:t>
      </w:r>
      <w:r w:rsidRPr="00FE24C0">
        <w:t xml:space="preserve">2) </w:t>
      </w:r>
      <w:r w:rsidRPr="00FE24C0">
        <w:rPr>
          <w:szCs w:val="22"/>
        </w:rPr>
        <w:t>if agreed</w:t>
      </w:r>
      <w:r w:rsidRPr="00FE24C0">
        <w:t xml:space="preserve"> with Government</w:t>
      </w:r>
      <w:r w:rsidRPr="00FE24C0">
        <w:rPr>
          <w:szCs w:val="22"/>
        </w:rPr>
        <w:t>, the Pool would settle losses directly to the insured cattle producers.</w:t>
      </w:r>
      <w:r w:rsidRPr="00FE24C0">
        <w:t xml:space="preserve"> (Figure A4.3.)</w:t>
      </w:r>
    </w:p>
    <w:p w:rsidR="0039157C" w:rsidRPr="00FE24C0" w:rsidRDefault="0039157C" w:rsidP="0039157C">
      <w:pPr>
        <w:rPr>
          <w:b/>
        </w:rPr>
      </w:pPr>
      <w:r w:rsidRPr="00FE24C0">
        <w:rPr>
          <w:b/>
          <w:szCs w:val="22"/>
        </w:rPr>
        <w:t xml:space="preserve">Figure </w:t>
      </w:r>
      <w:r w:rsidRPr="00FE24C0">
        <w:rPr>
          <w:b/>
        </w:rPr>
        <w:t>A4.</w:t>
      </w:r>
      <w:r w:rsidRPr="00FE24C0">
        <w:rPr>
          <w:b/>
          <w:szCs w:val="22"/>
        </w:rPr>
        <w:t xml:space="preserve">3. Option 3 Organizational Arrangements for a Macro-level National Livestock NDVI-Pasture Scheme </w:t>
      </w:r>
    </w:p>
    <w:p w:rsidR="0039157C" w:rsidRPr="00FE24C0" w:rsidRDefault="00130500" w:rsidP="0039157C">
      <w:pPr>
        <w:jc w:val="center"/>
        <w:rPr>
          <w:b/>
        </w:rPr>
      </w:pPr>
      <w:r w:rsidRPr="00FE24C0">
        <w:rPr>
          <w:b/>
          <w:noProof/>
          <w:lang w:val="es-AR" w:eastAsia="es-AR"/>
        </w:rPr>
        <w:drawing>
          <wp:inline distT="0" distB="0" distL="0" distR="0">
            <wp:extent cx="4572000" cy="342392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72000" cy="3423920"/>
                    </a:xfrm>
                    <a:prstGeom prst="rect">
                      <a:avLst/>
                    </a:prstGeom>
                    <a:noFill/>
                    <a:ln w="9525">
                      <a:noFill/>
                      <a:miter lim="800000"/>
                      <a:headEnd/>
                      <a:tailEnd/>
                    </a:ln>
                  </pic:spPr>
                </pic:pic>
              </a:graphicData>
            </a:graphic>
          </wp:inline>
        </w:drawing>
      </w:r>
    </w:p>
    <w:p w:rsidR="0039157C" w:rsidRPr="00FE24C0" w:rsidRDefault="0039157C" w:rsidP="0039157C">
      <w:pPr>
        <w:rPr>
          <w:szCs w:val="22"/>
        </w:rPr>
      </w:pPr>
      <w:r w:rsidRPr="00FE24C0">
        <w:rPr>
          <w:szCs w:val="22"/>
        </w:rPr>
        <w:t>The major advantages of the macro-level option 3 include:</w:t>
      </w:r>
    </w:p>
    <w:p w:rsidR="0039157C" w:rsidRPr="00FE24C0" w:rsidRDefault="0039157C" w:rsidP="00593B59">
      <w:pPr>
        <w:pStyle w:val="Prrafodelista"/>
        <w:numPr>
          <w:ilvl w:val="0"/>
          <w:numId w:val="11"/>
        </w:numPr>
        <w:rPr>
          <w:rFonts w:ascii="Times New Roman" w:hAnsi="Times New Roman"/>
        </w:rPr>
      </w:pPr>
      <w:r w:rsidRPr="00FE24C0">
        <w:rPr>
          <w:rFonts w:ascii="Times New Roman" w:hAnsi="Times New Roman"/>
        </w:rPr>
        <w:t>All cattle producers would automatically be insured under this national NDVI-pasture-drought insurance program</w:t>
      </w:r>
    </w:p>
    <w:p w:rsidR="0039157C" w:rsidRPr="00FE24C0" w:rsidRDefault="0039157C" w:rsidP="00593B59">
      <w:pPr>
        <w:pStyle w:val="Prrafodelista"/>
        <w:numPr>
          <w:ilvl w:val="0"/>
          <w:numId w:val="11"/>
        </w:numPr>
        <w:rPr>
          <w:rFonts w:ascii="Times New Roman" w:hAnsi="Times New Roman"/>
        </w:rPr>
      </w:pPr>
      <w:r w:rsidRPr="00FE24C0">
        <w:rPr>
          <w:rFonts w:ascii="Times New Roman" w:hAnsi="Times New Roman"/>
        </w:rPr>
        <w:t xml:space="preserve">This ex-ante livestock drought insurance </w:t>
      </w:r>
      <w:proofErr w:type="gramStart"/>
      <w:r w:rsidRPr="00FE24C0">
        <w:rPr>
          <w:rFonts w:ascii="Times New Roman" w:hAnsi="Times New Roman"/>
        </w:rPr>
        <w:t>program,</w:t>
      </w:r>
      <w:proofErr w:type="gramEnd"/>
      <w:r w:rsidRPr="00FE24C0">
        <w:rPr>
          <w:rFonts w:ascii="Times New Roman" w:hAnsi="Times New Roman"/>
        </w:rPr>
        <w:t xml:space="preserve"> would reduce the pressure on the government budget in times of catastrophe drought and could replace the ad hoc disaster compensation payouts government has to make to farmers in affected regions in times of drought and other natural disasters.</w:t>
      </w:r>
    </w:p>
    <w:p w:rsidR="0039157C" w:rsidRPr="00FE24C0" w:rsidRDefault="0039157C" w:rsidP="00593B59">
      <w:pPr>
        <w:pStyle w:val="Prrafodelista"/>
        <w:numPr>
          <w:ilvl w:val="0"/>
          <w:numId w:val="11"/>
        </w:numPr>
        <w:rPr>
          <w:rFonts w:ascii="Times New Roman" w:hAnsi="Times New Roman"/>
        </w:rPr>
      </w:pPr>
      <w:r w:rsidRPr="00FE24C0">
        <w:rPr>
          <w:rFonts w:ascii="Times New Roman" w:hAnsi="Times New Roman"/>
        </w:rPr>
        <w:t>The insurance scheme would operate at the Cuartel</w:t>
      </w:r>
      <w:r w:rsidRPr="00FE24C0">
        <w:rPr>
          <w:rFonts w:ascii="Times New Roman" w:hAnsi="Times New Roman"/>
          <w:i/>
        </w:rPr>
        <w:t xml:space="preserve"> </w:t>
      </w:r>
      <w:r w:rsidRPr="00FE24C0">
        <w:rPr>
          <w:rFonts w:ascii="Times New Roman" w:hAnsi="Times New Roman"/>
        </w:rPr>
        <w:t>level and compensate catastrophe droughts and other natural events.  In this case where the product is designed as a macro-level product the 5 km x 5 km resolution of the satellite imagery would not pose a problem.</w:t>
      </w:r>
    </w:p>
    <w:p w:rsidR="0039157C" w:rsidRPr="00FE24C0" w:rsidRDefault="0039157C" w:rsidP="00593B59">
      <w:pPr>
        <w:pStyle w:val="Prrafodelista"/>
        <w:numPr>
          <w:ilvl w:val="0"/>
          <w:numId w:val="11"/>
        </w:numPr>
        <w:rPr>
          <w:rFonts w:ascii="Times New Roman" w:hAnsi="Times New Roman"/>
        </w:rPr>
      </w:pPr>
      <w:r w:rsidRPr="00FE24C0">
        <w:rPr>
          <w:rFonts w:ascii="Times New Roman" w:hAnsi="Times New Roman"/>
        </w:rPr>
        <w:t>The program would be attractive to the insurance companies and international reinsurers because there would be a critical mass and significant premium volume to justify investment in staffing, operating systems and procedures to implement this macro-level scheme.</w:t>
      </w:r>
    </w:p>
    <w:p w:rsidR="0039157C" w:rsidRPr="00FE24C0" w:rsidRDefault="0039157C" w:rsidP="0039157C">
      <w:pPr>
        <w:rPr>
          <w:b/>
          <w:i/>
          <w:szCs w:val="22"/>
        </w:rPr>
      </w:pPr>
      <w:proofErr w:type="gramStart"/>
      <w:r w:rsidRPr="00FE24C0">
        <w:rPr>
          <w:b/>
          <w:i/>
          <w:szCs w:val="22"/>
        </w:rPr>
        <w:lastRenderedPageBreak/>
        <w:t>Option 4.</w:t>
      </w:r>
      <w:proofErr w:type="gramEnd"/>
      <w:r w:rsidRPr="00FE24C0">
        <w:rPr>
          <w:b/>
          <w:i/>
          <w:szCs w:val="22"/>
        </w:rPr>
        <w:t xml:space="preserve"> Meso-level NDVI Insurance Product for Regional Financial Institutions or for Livestock Producer Associations</w:t>
      </w:r>
    </w:p>
    <w:p w:rsidR="0039157C" w:rsidRPr="00FE24C0" w:rsidRDefault="0039157C" w:rsidP="0039157C">
      <w:pPr>
        <w:rPr>
          <w:szCs w:val="22"/>
        </w:rPr>
      </w:pPr>
      <w:r w:rsidRPr="00FE24C0">
        <w:rPr>
          <w:szCs w:val="22"/>
        </w:rPr>
        <w:t xml:space="preserve">The NDVI product could also be designed to protect the financial interests of regional banks lending to livestock (cattle) producers in </w:t>
      </w:r>
      <w:r w:rsidRPr="00FE24C0">
        <w:t>Argentina</w:t>
      </w:r>
      <w:r w:rsidRPr="00FE24C0">
        <w:rPr>
          <w:szCs w:val="22"/>
        </w:rPr>
        <w:t xml:space="preserve">.  In the event of catastrophe droughts which result in major reduction in pasture and grazing and forced sales of cattle and financial losses to large numbers of individual producers in specific regions, this may lead to inability to repay the loans to the banks and widespread default.  The NDVI-pasture index can readily be adapted to protect the financial interests of a bank lending to livestock producers.  (See Figure </w:t>
      </w:r>
      <w:r w:rsidRPr="00FE24C0">
        <w:t>A.</w:t>
      </w:r>
      <w:r w:rsidRPr="00FE24C0">
        <w:rPr>
          <w:szCs w:val="22"/>
        </w:rPr>
        <w:t>4</w:t>
      </w:r>
      <w:r w:rsidRPr="00FE24C0">
        <w:t>.4</w:t>
      </w:r>
      <w:r w:rsidRPr="00FE24C0">
        <w:rPr>
          <w:szCs w:val="22"/>
        </w:rPr>
        <w:t>).</w:t>
      </w:r>
    </w:p>
    <w:p w:rsidR="0039157C" w:rsidRPr="00FE24C0" w:rsidRDefault="0039157C" w:rsidP="0039157C">
      <w:pPr>
        <w:rPr>
          <w:szCs w:val="22"/>
        </w:rPr>
      </w:pPr>
      <w:r w:rsidRPr="00FE24C0">
        <w:rPr>
          <w:szCs w:val="22"/>
        </w:rPr>
        <w:t xml:space="preserve">This option is, however, unlikely to be of major interest to the </w:t>
      </w:r>
      <w:r w:rsidR="008D761F" w:rsidRPr="00FE24C0">
        <w:rPr>
          <w:szCs w:val="22"/>
        </w:rPr>
        <w:t xml:space="preserve">Argentinean </w:t>
      </w:r>
      <w:r w:rsidRPr="00FE24C0">
        <w:rPr>
          <w:szCs w:val="22"/>
        </w:rPr>
        <w:t>insurance companies unless it is again supported by government in the form of premium subsidies.</w:t>
      </w:r>
    </w:p>
    <w:p w:rsidR="0039157C" w:rsidRPr="00FE24C0" w:rsidRDefault="0039157C" w:rsidP="00663A5A">
      <w:pPr>
        <w:pStyle w:val="HeadFiguresTablesBoxes"/>
      </w:pPr>
      <w:r w:rsidRPr="00FE24C0">
        <w:t>Figure A4.4.  Option 4 Organizational Arrangements for a Meso-level Livestock NDVI-Pasture Scheme for Banks or other Financial Institutions</w:t>
      </w:r>
    </w:p>
    <w:p w:rsidR="0039157C" w:rsidRPr="00FE24C0" w:rsidRDefault="0039157C" w:rsidP="002A6DCB">
      <w:pPr>
        <w:pStyle w:val="Prrafodelista"/>
        <w:rPr>
          <w:rFonts w:ascii="Times New Roman" w:hAnsi="Times New Roman"/>
        </w:rPr>
      </w:pPr>
    </w:p>
    <w:p w:rsidR="0039157C" w:rsidRPr="00FE24C0" w:rsidRDefault="00130500" w:rsidP="002A6DCB">
      <w:pPr>
        <w:pStyle w:val="Prrafodelista"/>
        <w:rPr>
          <w:rFonts w:ascii="Times New Roman" w:hAnsi="Times New Roman"/>
        </w:rPr>
      </w:pPr>
      <w:r w:rsidRPr="00FE24C0">
        <w:rPr>
          <w:rFonts w:ascii="Times New Roman" w:hAnsi="Times New Roman"/>
          <w:noProof/>
          <w:lang w:val="es-AR" w:eastAsia="es-AR"/>
        </w:rPr>
        <w:drawing>
          <wp:inline distT="0" distB="0" distL="0" distR="0">
            <wp:extent cx="4572000" cy="3423920"/>
            <wp:effectExtent l="1905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srcRect/>
                    <a:stretch>
                      <a:fillRect/>
                    </a:stretch>
                  </pic:blipFill>
                  <pic:spPr bwMode="auto">
                    <a:xfrm>
                      <a:off x="0" y="0"/>
                      <a:ext cx="4572000" cy="3423920"/>
                    </a:xfrm>
                    <a:prstGeom prst="rect">
                      <a:avLst/>
                    </a:prstGeom>
                    <a:noFill/>
                    <a:ln w="9525">
                      <a:noFill/>
                      <a:miter lim="800000"/>
                      <a:headEnd/>
                      <a:tailEnd/>
                    </a:ln>
                  </pic:spPr>
                </pic:pic>
              </a:graphicData>
            </a:graphic>
          </wp:inline>
        </w:drawing>
      </w:r>
    </w:p>
    <w:p w:rsidR="001C1F90" w:rsidRPr="00FE24C0" w:rsidRDefault="001C1F90" w:rsidP="00E6646B">
      <w:pPr>
        <w:rPr>
          <w:szCs w:val="22"/>
        </w:rPr>
      </w:pPr>
    </w:p>
    <w:p w:rsidR="001C1F90" w:rsidRPr="00FE24C0" w:rsidRDefault="001C1F90" w:rsidP="00E6646B">
      <w:pPr>
        <w:rPr>
          <w:szCs w:val="22"/>
        </w:rPr>
      </w:pPr>
    </w:p>
    <w:sectPr w:rsidR="001C1F90" w:rsidRPr="00FE24C0" w:rsidSect="006B5DAB">
      <w:pgSz w:w="12240" w:h="15840"/>
      <w:pgMar w:top="1440" w:right="1800" w:bottom="144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91D" w:rsidRDefault="007D091D">
      <w:r>
        <w:separator/>
      </w:r>
    </w:p>
  </w:endnote>
  <w:endnote w:type="continuationSeparator" w:id="0">
    <w:p w:rsidR="007D091D" w:rsidRDefault="007D0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24" w:rsidRDefault="00DE7C24" w:rsidP="001900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E7C24" w:rsidRDefault="00DE7C24" w:rsidP="00D0021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24" w:rsidRPr="00FF03D2" w:rsidRDefault="00DE7C24" w:rsidP="00D00213">
    <w:pPr>
      <w:pStyle w:val="Piedepgina"/>
      <w:ind w:right="360"/>
    </w:pPr>
    <w:r>
      <w:tab/>
      <w:t xml:space="preserve">- </w:t>
    </w:r>
    <w:r>
      <w:rPr>
        <w:rStyle w:val="Nmerodepgina"/>
      </w:rPr>
      <w:fldChar w:fldCharType="begin"/>
    </w:r>
    <w:r>
      <w:rPr>
        <w:rStyle w:val="Nmerodepgina"/>
      </w:rPr>
      <w:instrText xml:space="preserve"> PAGE </w:instrText>
    </w:r>
    <w:r>
      <w:rPr>
        <w:rStyle w:val="Nmerodepgina"/>
      </w:rPr>
      <w:fldChar w:fldCharType="separate"/>
    </w:r>
    <w:r w:rsidR="00536C63">
      <w:rPr>
        <w:rStyle w:val="Nmerodepgina"/>
        <w:noProof/>
      </w:rPr>
      <w:t>ii</w:t>
    </w:r>
    <w:r>
      <w:rPr>
        <w:rStyle w:val="Nmerodepgina"/>
      </w:rPr>
      <w:fldChar w:fldCharType="end"/>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91D" w:rsidRDefault="007D091D">
      <w:r>
        <w:separator/>
      </w:r>
    </w:p>
  </w:footnote>
  <w:footnote w:type="continuationSeparator" w:id="0">
    <w:p w:rsidR="007D091D" w:rsidRDefault="007D091D">
      <w:r>
        <w:continuationSeparator/>
      </w:r>
    </w:p>
  </w:footnote>
  <w:footnote w:id="1">
    <w:p w:rsidR="00DE7C24" w:rsidRPr="00D8462E" w:rsidRDefault="00DE7C24">
      <w:pPr>
        <w:pStyle w:val="Textonotapie"/>
      </w:pPr>
      <w:r>
        <w:rPr>
          <w:rStyle w:val="Refdenotaalpie"/>
        </w:rPr>
        <w:footnoteRef/>
      </w:r>
      <w:r>
        <w:t xml:space="preserve"> </w:t>
      </w:r>
      <w:r>
        <w:rPr>
          <w:lang w:val="en-GB"/>
        </w:rPr>
        <w:t xml:space="preserve">This valuation was based on the assumption that </w:t>
      </w:r>
      <w:r w:rsidRPr="001D6076">
        <w:rPr>
          <w:b/>
          <w:lang w:val="en-GB"/>
        </w:rPr>
        <w:t>maize</w:t>
      </w:r>
      <w:r>
        <w:rPr>
          <w:lang w:val="en-GB"/>
        </w:rPr>
        <w:t xml:space="preserve"> would be used as the supplementary feed with a 2012 market price of AR$ 600 per metric ton.  Maize was used for valuation purposes as it is widely traded in the Argentinean market and prices are widely quoted.  According to MAGyP</w:t>
      </w:r>
      <w:r w:rsidRPr="00B76DDA">
        <w:rPr>
          <w:lang w:val="en-GB"/>
        </w:rPr>
        <w:t xml:space="preserve">, one </w:t>
      </w:r>
      <w:r>
        <w:rPr>
          <w:lang w:val="en-GB"/>
        </w:rPr>
        <w:t xml:space="preserve">cow equivalent (EV) requires 5.88 Kilograms of maize feed per day to meet its nutritional requirements in full, giving an average insured cost per adult cow of AR$ 3.53 per day and slightly lower for heifers at ARS 2.74 per day. </w:t>
      </w:r>
    </w:p>
  </w:footnote>
  <w:footnote w:id="2">
    <w:p w:rsidR="00DE7C24" w:rsidRPr="002D5B5F" w:rsidRDefault="00DE7C24">
      <w:pPr>
        <w:pStyle w:val="Textonotapie"/>
      </w:pPr>
      <w:r>
        <w:rPr>
          <w:rStyle w:val="Refdenotaalpie"/>
        </w:rPr>
        <w:footnoteRef/>
      </w:r>
      <w:r>
        <w:t xml:space="preserve"> The cluster is a group of pixels in each Cuartel which has a similar NDVI signature and on which basis an average NDVI value is calculated for that Cuartel. </w:t>
      </w:r>
    </w:p>
  </w:footnote>
  <w:footnote w:id="3">
    <w:p w:rsidR="00DE7C24" w:rsidRPr="0030201F" w:rsidRDefault="00DE7C24">
      <w:pPr>
        <w:pStyle w:val="Textonotapie"/>
      </w:pPr>
      <w:r>
        <w:rPr>
          <w:rStyle w:val="Refdenotaalpie"/>
        </w:rPr>
        <w:footnoteRef/>
      </w:r>
      <w:r>
        <w:t xml:space="preserve"> The group of interested insurance companies has previous experience of coinsurance agreements under the Mendoza Province grape-hail scheme.</w:t>
      </w:r>
    </w:p>
  </w:footnote>
  <w:footnote w:id="4">
    <w:p w:rsidR="00DE7C24" w:rsidRDefault="00DE7C24" w:rsidP="000A6819">
      <w:pPr>
        <w:pStyle w:val="Textonotapie"/>
      </w:pPr>
      <w:r>
        <w:rPr>
          <w:rStyle w:val="Refdenotaalpie"/>
        </w:rPr>
        <w:footnoteRef/>
      </w:r>
      <w:r>
        <w:t xml:space="preserve"> </w:t>
      </w:r>
      <w:r w:rsidRPr="008E56EE">
        <w:t>The GGP measures the value of</w:t>
      </w:r>
      <w:r>
        <w:t xml:space="preserve"> produced final goods and services</w:t>
      </w:r>
      <w:r w:rsidRPr="008E56EE">
        <w:t xml:space="preserve"> at market prices attributable to production factors physically located in the country. In Argentina, a distinction is made between GD</w:t>
      </w:r>
      <w:r>
        <w:t xml:space="preserve">P and GGP, with GDP </w:t>
      </w:r>
      <w:r w:rsidRPr="008E56EE">
        <w:t>defined</w:t>
      </w:r>
      <w:r>
        <w:t xml:space="preserve"> and used in the standard</w:t>
      </w:r>
      <w:r w:rsidRPr="008E56EE">
        <w:t xml:space="preserve"> manner</w:t>
      </w:r>
      <w:r>
        <w:t>, and GGP as its</w:t>
      </w:r>
      <w:r w:rsidRPr="008E56EE">
        <w:t xml:space="preserve"> equivalent applied </w:t>
      </w:r>
      <w:r>
        <w:t>at</w:t>
      </w:r>
      <w:r w:rsidRPr="008E56EE">
        <w:t xml:space="preserve"> the provinc</w:t>
      </w:r>
      <w:r>
        <w:t>ial level</w:t>
      </w:r>
      <w:r w:rsidRPr="008E56EE">
        <w:t>.</w:t>
      </w:r>
    </w:p>
  </w:footnote>
  <w:footnote w:id="5">
    <w:p w:rsidR="00DE7C24" w:rsidRPr="004E45AE" w:rsidRDefault="00DE7C24">
      <w:pPr>
        <w:pStyle w:val="Textonotapie"/>
        <w:rPr>
          <w:lang w:val="es-NI"/>
        </w:rPr>
      </w:pPr>
      <w:r>
        <w:rPr>
          <w:rStyle w:val="Refdenotaalpie"/>
        </w:rPr>
        <w:footnoteRef/>
      </w:r>
      <w:r w:rsidRPr="001D6076">
        <w:rPr>
          <w:lang w:val="es-NI"/>
        </w:rPr>
        <w:t xml:space="preserve"> SA</w:t>
      </w:r>
      <w:r>
        <w:rPr>
          <w:lang w:val="es-NI"/>
        </w:rPr>
        <w:t>y</w:t>
      </w:r>
      <w:r w:rsidRPr="001D6076">
        <w:rPr>
          <w:lang w:val="es-NI"/>
        </w:rPr>
        <w:t>DS, National Secretariat of Environment and Sustainable Development (</w:t>
      </w:r>
      <w:r w:rsidRPr="001D6076">
        <w:rPr>
          <w:i/>
          <w:lang w:val="es-NI"/>
        </w:rPr>
        <w:t>Secretaría de Ambiente y Desarollo Sustentable de la Nación</w:t>
      </w:r>
      <w:r w:rsidRPr="001D6076">
        <w:rPr>
          <w:lang w:val="es-NI"/>
        </w:rPr>
        <w:t>)</w:t>
      </w:r>
    </w:p>
  </w:footnote>
  <w:footnote w:id="6">
    <w:p w:rsidR="00DE7C24" w:rsidRPr="008057F2" w:rsidRDefault="00DE7C24">
      <w:pPr>
        <w:pStyle w:val="Textonotapie"/>
        <w:rPr>
          <w:lang w:val="en-GB"/>
        </w:rPr>
      </w:pPr>
      <w:r>
        <w:rPr>
          <w:rStyle w:val="Refdenotaalpie"/>
        </w:rPr>
        <w:footnoteRef/>
      </w:r>
      <w:r>
        <w:t xml:space="preserve"> </w:t>
      </w:r>
      <w:r>
        <w:rPr>
          <w:lang w:val="en-GB"/>
        </w:rPr>
        <w:t>The most common crop insurance policy is Argentina is hail only accounting for 53% of the 2011 emitted premiums, followed by hail plus additional named perils such as frost and wind accounting for 43% of emitted premiums (SSN 2012).</w:t>
      </w:r>
    </w:p>
  </w:footnote>
  <w:footnote w:id="7">
    <w:p w:rsidR="00DE7C24" w:rsidRPr="000B7332" w:rsidRDefault="00DE7C24">
      <w:pPr>
        <w:pStyle w:val="Textonotapie"/>
        <w:rPr>
          <w:lang w:val="en-GB"/>
        </w:rPr>
      </w:pPr>
      <w:r>
        <w:rPr>
          <w:rStyle w:val="Refdenotaalpie"/>
        </w:rPr>
        <w:footnoteRef/>
      </w:r>
      <w:r>
        <w:t xml:space="preserve"> </w:t>
      </w:r>
      <w:r>
        <w:rPr>
          <w:lang w:val="en-GB"/>
        </w:rPr>
        <w:t>At an average 2012 exchange rate of AR$ 4.5 = US$ 1.00</w:t>
      </w:r>
    </w:p>
  </w:footnote>
  <w:footnote w:id="8">
    <w:p w:rsidR="00DE7C24" w:rsidRPr="0052646B" w:rsidRDefault="00DE7C24">
      <w:pPr>
        <w:pStyle w:val="Textonotapie"/>
        <w:rPr>
          <w:lang w:val="es-NI"/>
        </w:rPr>
      </w:pPr>
      <w:r>
        <w:rPr>
          <w:rStyle w:val="Refdenotaalpie"/>
        </w:rPr>
        <w:footnoteRef/>
      </w:r>
      <w:r w:rsidRPr="00444F9A">
        <w:rPr>
          <w:lang w:val="es-NI"/>
        </w:rPr>
        <w:t xml:space="preserve"> </w:t>
      </w:r>
      <w:r w:rsidRPr="00444F9A">
        <w:rPr>
          <w:i/>
          <w:lang w:val="es-NI"/>
        </w:rPr>
        <w:t>Proyecto Oficina de Seguro Agropecuario Integral</w:t>
      </w:r>
      <w:r w:rsidRPr="00444F9A">
        <w:rPr>
          <w:lang w:val="es-NI"/>
        </w:rPr>
        <w:t xml:space="preserve"> (Senador D. Périsco).  </w:t>
      </w:r>
      <w:hyperlink r:id="rId1" w:history="1">
        <w:r w:rsidRPr="00444F9A">
          <w:rPr>
            <w:rStyle w:val="Hipervnculo"/>
            <w:lang w:val="es-NI"/>
          </w:rPr>
          <w:t>http://www.revistaestrategas.com.ar/noticia-357.html</w:t>
        </w:r>
      </w:hyperlink>
    </w:p>
  </w:footnote>
  <w:footnote w:id="9">
    <w:p w:rsidR="00DE7C24" w:rsidRPr="00C209D7" w:rsidRDefault="00DE7C24">
      <w:pPr>
        <w:pStyle w:val="Textonotapie"/>
        <w:rPr>
          <w:lang w:val="es-NI"/>
        </w:rPr>
      </w:pPr>
      <w:r>
        <w:rPr>
          <w:rStyle w:val="Refdenotaalpie"/>
        </w:rPr>
        <w:footnoteRef/>
      </w:r>
      <w:r w:rsidRPr="00444F9A">
        <w:rPr>
          <w:lang w:val="es-NI"/>
        </w:rPr>
        <w:t xml:space="preserve"> </w:t>
      </w:r>
      <w:r w:rsidRPr="00444F9A">
        <w:rPr>
          <w:i/>
          <w:color w:val="000000"/>
          <w:lang w:val="es-NI"/>
        </w:rPr>
        <w:t>Seguro de Previsibilidad de Multi-riesgo Agrícola Nacional</w:t>
      </w:r>
    </w:p>
  </w:footnote>
  <w:footnote w:id="10">
    <w:p w:rsidR="00DE7C24" w:rsidRPr="00991832" w:rsidRDefault="00DE7C24">
      <w:pPr>
        <w:pStyle w:val="Textonotapie"/>
        <w:rPr>
          <w:lang w:val="en-GB"/>
        </w:rPr>
      </w:pPr>
      <w:r>
        <w:rPr>
          <w:rStyle w:val="Refdenotaalpie"/>
        </w:rPr>
        <w:footnoteRef/>
      </w:r>
      <w:r>
        <w:t xml:space="preserve"> </w:t>
      </w:r>
      <w:r>
        <w:rPr>
          <w:lang w:val="en-GB"/>
        </w:rPr>
        <w:t xml:space="preserve">For further information on PROSAP, see </w:t>
      </w:r>
      <w:r>
        <w:t xml:space="preserve">in </w:t>
      </w:r>
      <w:hyperlink r:id="rId2" w:history="1">
        <w:r>
          <w:rPr>
            <w:rStyle w:val="Hipervnculo"/>
          </w:rPr>
          <w:t>http://www.prosap.gov.ar/</w:t>
        </w:r>
      </w:hyperlink>
    </w:p>
  </w:footnote>
  <w:footnote w:id="11">
    <w:p w:rsidR="00DE7C24" w:rsidRPr="000E682F" w:rsidRDefault="00DE7C24">
      <w:pPr>
        <w:pStyle w:val="Textonotapie"/>
        <w:rPr>
          <w:lang w:val="en-GB"/>
        </w:rPr>
      </w:pPr>
      <w:r>
        <w:rPr>
          <w:rStyle w:val="Refdenotaalpie"/>
        </w:rPr>
        <w:footnoteRef/>
      </w:r>
      <w:r w:rsidRPr="00F0345D">
        <w:rPr>
          <w:lang w:val="en-GB"/>
        </w:rPr>
        <w:t xml:space="preserve"> </w:t>
      </w:r>
      <w:r w:rsidRPr="000E682F">
        <w:rPr>
          <w:lang w:val="en-GB"/>
        </w:rPr>
        <w:t xml:space="preserve">See </w:t>
      </w:r>
      <w:r>
        <w:rPr>
          <w:lang w:val="en-GB"/>
        </w:rPr>
        <w:t>Martínez</w:t>
      </w:r>
      <w:r w:rsidRPr="000E682F">
        <w:rPr>
          <w:lang w:val="en-GB"/>
        </w:rPr>
        <w:t xml:space="preserve"> de Ibarreta </w:t>
      </w:r>
      <w:r>
        <w:rPr>
          <w:lang w:val="en-GB"/>
        </w:rPr>
        <w:t>(</w:t>
      </w:r>
      <w:r w:rsidRPr="000E682F">
        <w:rPr>
          <w:lang w:val="en-GB"/>
        </w:rPr>
        <w:t>2006</w:t>
      </w:r>
      <w:r>
        <w:rPr>
          <w:lang w:val="en-GB"/>
        </w:rPr>
        <w:t>)</w:t>
      </w:r>
      <w:r w:rsidRPr="000E682F">
        <w:rPr>
          <w:lang w:val="en-GB"/>
        </w:rPr>
        <w:t xml:space="preserve"> for a</w:t>
      </w:r>
      <w:r>
        <w:rPr>
          <w:lang w:val="en-GB"/>
        </w:rPr>
        <w:t xml:space="preserve"> final </w:t>
      </w:r>
      <w:r w:rsidRPr="00F0345D">
        <w:rPr>
          <w:lang w:val="en-GB"/>
        </w:rPr>
        <w:t xml:space="preserve">evaluation of the </w:t>
      </w:r>
      <w:r>
        <w:rPr>
          <w:lang w:val="en-GB"/>
        </w:rPr>
        <w:t>PROSAP Risk and Agricultural Inurance sub-project</w:t>
      </w:r>
    </w:p>
  </w:footnote>
  <w:footnote w:id="12">
    <w:p w:rsidR="00DE7C24" w:rsidRPr="008E051D" w:rsidRDefault="00DE7C24">
      <w:pPr>
        <w:pStyle w:val="Textonotapie"/>
        <w:rPr>
          <w:lang w:val="en-GB"/>
        </w:rPr>
      </w:pPr>
      <w:r>
        <w:rPr>
          <w:rStyle w:val="Refdenotaalpie"/>
        </w:rPr>
        <w:footnoteRef/>
      </w:r>
      <w:r>
        <w:t xml:space="preserve"> </w:t>
      </w:r>
      <w:proofErr w:type="gramStart"/>
      <w:r>
        <w:rPr>
          <w:lang w:val="en-GB"/>
        </w:rPr>
        <w:t>SENASA 2011 statistics.</w:t>
      </w:r>
      <w:proofErr w:type="gramEnd"/>
    </w:p>
  </w:footnote>
  <w:footnote w:id="13">
    <w:p w:rsidR="00DE7C24" w:rsidRPr="00B43571" w:rsidRDefault="00DE7C24">
      <w:pPr>
        <w:pStyle w:val="Textonotapie"/>
        <w:rPr>
          <w:lang w:val="en-GB"/>
        </w:rPr>
      </w:pPr>
      <w:r>
        <w:rPr>
          <w:rStyle w:val="Refdenotaalpie"/>
        </w:rPr>
        <w:footnoteRef/>
      </w:r>
      <w:r>
        <w:t xml:space="preserve"> </w:t>
      </w:r>
      <w:r>
        <w:rPr>
          <w:lang w:val="en-GB"/>
        </w:rPr>
        <w:t>Cow-calf operations are also referred to as single suckler herds. The purpose of such operations is to maintain a herd of cows which are annually serviced to breed calves for sale. Male calves (steers) are typically sold at weaning (6 months) to intensive feedlots for fattening and sale for slaughter at 1 to 2 years age when the steers have attained about 400 Kilograms in weight.</w:t>
      </w:r>
    </w:p>
  </w:footnote>
  <w:footnote w:id="14">
    <w:p w:rsidR="00DE7C24" w:rsidRPr="00E74020" w:rsidRDefault="00DE7C24" w:rsidP="00583213">
      <w:pPr>
        <w:pStyle w:val="Textonotapie"/>
      </w:pPr>
      <w:r w:rsidRPr="00E74020">
        <w:rPr>
          <w:rStyle w:val="Refdenotaalpie"/>
        </w:rPr>
        <w:footnoteRef/>
      </w:r>
      <w:r w:rsidRPr="00E74020">
        <w:t xml:space="preserve"> Th</w:t>
      </w:r>
      <w:r>
        <w:t>e</w:t>
      </w:r>
      <w:r w:rsidRPr="00E74020">
        <w:t xml:space="preserve"> production systems </w:t>
      </w:r>
      <w:r>
        <w:t xml:space="preserve">in SWBA were </w:t>
      </w:r>
      <w:r w:rsidRPr="00E74020">
        <w:t>classified into four categories: (i) Preponderance of Crop Production, which has more than 80% of the total farm area allo</w:t>
      </w:r>
      <w:r>
        <w:t>cat</w:t>
      </w:r>
      <w:r w:rsidRPr="00E74020">
        <w:t>ed to crop production; (ii) Crop – Cattle rearing production system, which has between 50% to 80% of the total farm area allo</w:t>
      </w:r>
      <w:r>
        <w:t>ca</w:t>
      </w:r>
      <w:r w:rsidRPr="00E74020">
        <w:t>ted to crop production; (iii) cattle rearing – crop production system, which has between 50% to 80% of the total farm area allo</w:t>
      </w:r>
      <w:r>
        <w:t>ca</w:t>
      </w:r>
      <w:r w:rsidRPr="00E74020">
        <w:t>ted to cattle rearing activities; and (iv) preponderance of cattle rearing, which has more than 80% of the total farm area allo</w:t>
      </w:r>
      <w:r>
        <w:t>ca</w:t>
      </w:r>
      <w:r w:rsidRPr="00E74020">
        <w:t>ted to cattle rearing activities.</w:t>
      </w:r>
    </w:p>
  </w:footnote>
  <w:footnote w:id="15">
    <w:p w:rsidR="00DE7C24" w:rsidRPr="00C209D7" w:rsidRDefault="00DE7C24">
      <w:pPr>
        <w:pStyle w:val="Textonotapie"/>
        <w:rPr>
          <w:lang w:val="es-NI"/>
        </w:rPr>
      </w:pPr>
      <w:r>
        <w:rPr>
          <w:rStyle w:val="Refdenotaalpie"/>
        </w:rPr>
        <w:footnoteRef/>
      </w:r>
      <w:r w:rsidRPr="001A24FC">
        <w:rPr>
          <w:lang w:val="es-NI"/>
        </w:rPr>
        <w:t xml:space="preserve"> Bavera, G. 2002.  </w:t>
      </w:r>
      <w:r w:rsidRPr="005454E2">
        <w:rPr>
          <w:lang w:val="es-AR"/>
        </w:rPr>
        <w:t>Épocas de Servicio y Parición. Curso de Producción Bovina de Carne, FAV UNRC</w:t>
      </w:r>
      <w:r w:rsidRPr="001A24FC">
        <w:rPr>
          <w:lang w:val="es-NI"/>
        </w:rPr>
        <w:t>. www.produccion-animal.com.ar</w:t>
      </w:r>
    </w:p>
  </w:footnote>
  <w:footnote w:id="16">
    <w:p w:rsidR="00DE7C24" w:rsidRPr="00E74020" w:rsidRDefault="00DE7C24" w:rsidP="00583213">
      <w:pPr>
        <w:pStyle w:val="Textonotapie"/>
      </w:pPr>
      <w:r w:rsidRPr="00E74020">
        <w:rPr>
          <w:rStyle w:val="Refdenotaalpie"/>
        </w:rPr>
        <w:footnoteRef/>
      </w:r>
      <w:r>
        <w:rPr>
          <w:lang w:val="es-AR"/>
        </w:rPr>
        <w:t xml:space="preserve"> </w:t>
      </w:r>
      <w:r w:rsidRPr="00101090">
        <w:rPr>
          <w:lang w:val="es-AR"/>
        </w:rPr>
        <w:t>INTA</w:t>
      </w:r>
      <w:r>
        <w:rPr>
          <w:lang w:val="es-AR"/>
        </w:rPr>
        <w:t xml:space="preserve"> (2009)</w:t>
      </w:r>
      <w:r w:rsidRPr="00101090">
        <w:rPr>
          <w:lang w:val="es-AR"/>
        </w:rPr>
        <w:t xml:space="preserve"> PPR Análisis Socioeconómico de la sustentabilidad de los sistemas de Producción y de los Recursos Naturales- Área Estratégica Economía y Sociología. </w:t>
      </w:r>
      <w:r w:rsidRPr="00E74020">
        <w:t>Balcarce 2009</w:t>
      </w:r>
    </w:p>
  </w:footnote>
  <w:footnote w:id="17">
    <w:p w:rsidR="00DE7C24" w:rsidRDefault="00DE7C24">
      <w:pPr>
        <w:pStyle w:val="Textonotapie"/>
        <w:rPr>
          <w:bCs/>
        </w:rPr>
      </w:pPr>
      <w:r>
        <w:rPr>
          <w:rStyle w:val="Refdenotaalpie"/>
        </w:rPr>
        <w:footnoteRef/>
      </w:r>
      <w:r>
        <w:t xml:space="preserve"> </w:t>
      </w:r>
      <w:r w:rsidRPr="00991404">
        <w:rPr>
          <w:bCs/>
        </w:rPr>
        <w:t xml:space="preserve">The deviation of monthly and annual accumulative precipitation from mean rainfall values was used by the authors as a simple approach in order to identify extreme below normal precipitation events for the past 40 years. The authors acknowledge, however, there are other methods for measuring drought (i.e. methods that quantify its magnitude, length, frequency, time for establishment, and impacted area) which are more sophisticated that the one proposed here but that are beyond the objectives of this study.  </w:t>
      </w:r>
    </w:p>
    <w:p w:rsidR="00DE7C24" w:rsidRDefault="00DE7C24" w:rsidP="00991404">
      <w:pPr>
        <w:pStyle w:val="Textonotapie"/>
      </w:pPr>
      <w:r>
        <w:t>Classification of drought based on the deviation of precipitation values in relation to its norm.</w:t>
      </w:r>
    </w:p>
    <w:p w:rsidR="00DE7C24" w:rsidRPr="004D5D93" w:rsidRDefault="00DE7C24" w:rsidP="00991404">
      <w:pPr>
        <w:pStyle w:val="Textonotapie"/>
      </w:pPr>
      <w:r w:rsidRPr="00CD0AB8">
        <w:t xml:space="preserve"> </w:t>
      </w:r>
      <w:r>
        <w:rPr>
          <w:noProof/>
          <w:lang w:val="es-AR" w:eastAsia="es-AR"/>
        </w:rPr>
        <w:drawing>
          <wp:inline distT="0" distB="0" distL="0" distR="0">
            <wp:extent cx="2135875" cy="1225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827" cy="1225431"/>
                    </a:xfrm>
                    <a:prstGeom prst="rect">
                      <a:avLst/>
                    </a:prstGeom>
                    <a:noFill/>
                    <a:ln>
                      <a:noFill/>
                    </a:ln>
                  </pic:spPr>
                </pic:pic>
              </a:graphicData>
            </a:graphic>
          </wp:inline>
        </w:drawing>
      </w:r>
    </w:p>
  </w:footnote>
  <w:footnote w:id="18">
    <w:p w:rsidR="00DE7C24" w:rsidRPr="004012B0" w:rsidRDefault="00DE7C24">
      <w:pPr>
        <w:pStyle w:val="Textonotapie"/>
      </w:pPr>
      <w:r>
        <w:rPr>
          <w:rStyle w:val="Refdenotaalpie"/>
        </w:rPr>
        <w:footnoteRef/>
      </w:r>
      <w:r>
        <w:t xml:space="preserve"> </w:t>
      </w:r>
      <w:r w:rsidRPr="004012B0">
        <w:t>The historical rainfall records that were analyzed correspond to the following stations: Bahía Blanca, Bordenave, Coronel Pringles, Coronel Suárez, Ascasubi and Tres Arroyos.</w:t>
      </w:r>
    </w:p>
  </w:footnote>
  <w:footnote w:id="19">
    <w:p w:rsidR="00DE7C24" w:rsidRPr="0074701C" w:rsidRDefault="00DE7C24">
      <w:pPr>
        <w:pStyle w:val="Textonotapie"/>
        <w:rPr>
          <w:lang w:val="en-GB"/>
        </w:rPr>
      </w:pPr>
      <w:r>
        <w:rPr>
          <w:rStyle w:val="Refdenotaalpie"/>
        </w:rPr>
        <w:footnoteRef/>
      </w:r>
      <w:r>
        <w:t xml:space="preserve"> </w:t>
      </w:r>
      <w:r>
        <w:rPr>
          <w:lang w:val="en-GB"/>
        </w:rPr>
        <w:t xml:space="preserve">It had been intended to update the rainfall analysis for these 5 weather stations to 2012, but in the absence of latitude and longitude data it has not been possible to validate the location of these stations and this in turn has prevented the acquisition of 2009 to 2012 rainfall data. </w:t>
      </w:r>
    </w:p>
  </w:footnote>
  <w:footnote w:id="20">
    <w:p w:rsidR="00DE7C24" w:rsidRPr="00C066CE" w:rsidRDefault="00DE7C24">
      <w:pPr>
        <w:pStyle w:val="Textonotapie"/>
      </w:pPr>
      <w:r>
        <w:rPr>
          <w:rStyle w:val="Refdenotaalpie"/>
        </w:rPr>
        <w:footnoteRef/>
      </w:r>
      <w:r>
        <w:t xml:space="preserve"> </w:t>
      </w:r>
      <w:proofErr w:type="gramStart"/>
      <w:r>
        <w:t>Marengo, Baez and Ronchail, 2008.</w:t>
      </w:r>
      <w:proofErr w:type="gramEnd"/>
    </w:p>
  </w:footnote>
  <w:footnote w:id="21">
    <w:p w:rsidR="00DE7C24" w:rsidRPr="00F21D25" w:rsidRDefault="00DE7C24" w:rsidP="008F4220">
      <w:pPr>
        <w:pStyle w:val="Textonotapie"/>
        <w:rPr>
          <w:lang w:val="en-GB"/>
        </w:rPr>
      </w:pPr>
      <w:r>
        <w:rPr>
          <w:rStyle w:val="Refdenotaalpie"/>
        </w:rPr>
        <w:footnoteRef/>
      </w:r>
      <w:r>
        <w:t xml:space="preserve">  A lactating cow in hot climates requires between 11 gallons and nearly 18 gallons of water per day in the hottest months while heifers and dry cows may require between 6 and 14 gallons per day (Lardy and Stoltenow, 1999). </w:t>
      </w:r>
    </w:p>
  </w:footnote>
  <w:footnote w:id="22">
    <w:p w:rsidR="00DE7C24" w:rsidRPr="00305695" w:rsidRDefault="00DE7C24">
      <w:pPr>
        <w:pStyle w:val="Textonotapie"/>
        <w:rPr>
          <w:lang w:val="en-GB"/>
        </w:rPr>
      </w:pPr>
      <w:r>
        <w:rPr>
          <w:rStyle w:val="Refdenotaalpie"/>
        </w:rPr>
        <w:footnoteRef/>
      </w:r>
      <w:r>
        <w:t xml:space="preserve"> National cattle statistics for Argentina based on </w:t>
      </w:r>
      <w:r>
        <w:rPr>
          <w:lang w:val="en-GB"/>
        </w:rPr>
        <w:t>FAOStat.</w:t>
      </w:r>
    </w:p>
  </w:footnote>
  <w:footnote w:id="23">
    <w:p w:rsidR="00DE7C24" w:rsidRPr="00F44009" w:rsidRDefault="00DE7C24" w:rsidP="00477EBA">
      <w:pPr>
        <w:pStyle w:val="Textonotapie"/>
        <w:rPr>
          <w:lang w:val="en-GB"/>
        </w:rPr>
      </w:pPr>
      <w:r>
        <w:rPr>
          <w:rStyle w:val="Refdenotaalpie"/>
        </w:rPr>
        <w:footnoteRef/>
      </w:r>
      <w:r w:rsidRPr="00E063A6">
        <w:rPr>
          <w:lang w:val="es-NI"/>
        </w:rPr>
        <w:t xml:space="preserve"> In 2008 the group of interested private commercial insurance companies included San Cristobal Sociedad Mutual Seguros General</w:t>
      </w:r>
      <w:r>
        <w:rPr>
          <w:lang w:val="es-NI"/>
        </w:rPr>
        <w:t>e</w:t>
      </w:r>
      <w:r w:rsidRPr="00E063A6">
        <w:rPr>
          <w:lang w:val="es-NI"/>
        </w:rPr>
        <w:t xml:space="preserve">s, Mapre Argentina Seguros S.A., Provincia Seguros, S.A., Sancor Cooperativa de Seguros Limitada, La Segunda Cooperativa Limitada de Seguros Generales. </w:t>
      </w:r>
      <w:r>
        <w:rPr>
          <w:lang w:val="en-GB"/>
        </w:rPr>
        <w:t xml:space="preserve">In addition, the meetings were attended by the broker Aon Benfield, Argentina. </w:t>
      </w:r>
      <w:r>
        <w:t>During the meetings in May 2012, Nación Seguros, the state owned insurance company, also showed interest in the NDVI-program.</w:t>
      </w:r>
    </w:p>
  </w:footnote>
  <w:footnote w:id="24">
    <w:p w:rsidR="00DE7C24" w:rsidRPr="00210716" w:rsidRDefault="00DE7C24">
      <w:pPr>
        <w:pStyle w:val="Textonotapie"/>
        <w:rPr>
          <w:lang w:val="en-GB"/>
        </w:rPr>
      </w:pPr>
      <w:r>
        <w:rPr>
          <w:rStyle w:val="Refdenotaalpie"/>
        </w:rPr>
        <w:footnoteRef/>
      </w:r>
      <w:r>
        <w:t xml:space="preserve"> </w:t>
      </w:r>
      <w:r>
        <w:rPr>
          <w:lang w:val="en-GB"/>
        </w:rPr>
        <w:t>In this context it is noted that there is an exposure to moral hazard at the micro-level where individual farmers can increase their stocking densities to a level where over-grazing results in the destruction of the pasture and very low NDVI values.  This problem can be overcome by the Insurer specifying maximum stocking densities per hectare of pasture in each zone or Insured Unit</w:t>
      </w:r>
    </w:p>
  </w:footnote>
  <w:footnote w:id="25">
    <w:p w:rsidR="00DE7C24" w:rsidRPr="00906173" w:rsidRDefault="00DE7C24">
      <w:pPr>
        <w:pStyle w:val="Textonotapie"/>
        <w:rPr>
          <w:lang w:val="en-GB"/>
        </w:rPr>
      </w:pPr>
      <w:r>
        <w:rPr>
          <w:rStyle w:val="Refdenotaalpie"/>
        </w:rPr>
        <w:footnoteRef/>
      </w:r>
      <w:r>
        <w:t xml:space="preserve"> </w:t>
      </w:r>
      <w:r>
        <w:rPr>
          <w:lang w:val="en-GB"/>
        </w:rPr>
        <w:t>For a good review of the limitations of NDVI see Grimes S.W.S. (ND), Normalised Difference Vegetation Index (NDVI), Department of Meteorology, University of Reading, UK</w:t>
      </w:r>
      <w:proofErr w:type="gramStart"/>
      <w:r>
        <w:rPr>
          <w:lang w:val="en-GB"/>
        </w:rPr>
        <w:t>, .</w:t>
      </w:r>
      <w:proofErr w:type="gramEnd"/>
      <w:r>
        <w:rPr>
          <w:lang w:val="en-GB"/>
        </w:rPr>
        <w:t xml:space="preserve"> </w:t>
      </w:r>
    </w:p>
  </w:footnote>
  <w:footnote w:id="26">
    <w:p w:rsidR="00DE7C24" w:rsidRPr="00FA002C" w:rsidRDefault="00DE7C24">
      <w:pPr>
        <w:pStyle w:val="Textonotapie"/>
        <w:rPr>
          <w:lang w:val="en-GB"/>
        </w:rPr>
      </w:pPr>
      <w:r>
        <w:rPr>
          <w:rStyle w:val="Refdenotaalpie"/>
        </w:rPr>
        <w:footnoteRef/>
      </w:r>
      <w:r>
        <w:t xml:space="preserve"> </w:t>
      </w:r>
      <w:r>
        <w:rPr>
          <w:lang w:val="en-GB"/>
        </w:rPr>
        <w:t>SAGARPA 2012, personal communication with authors</w:t>
      </w:r>
    </w:p>
  </w:footnote>
  <w:footnote w:id="27">
    <w:p w:rsidR="00DE7C24" w:rsidRPr="001A6BAE" w:rsidRDefault="00DE7C24" w:rsidP="00C51013">
      <w:pPr>
        <w:pStyle w:val="Textonotapie"/>
        <w:rPr>
          <w:lang w:val="en-GB"/>
        </w:rPr>
      </w:pPr>
      <w:r>
        <w:rPr>
          <w:rStyle w:val="Refdenotaalpie"/>
        </w:rPr>
        <w:footnoteRef/>
      </w:r>
      <w:r>
        <w:t xml:space="preserve"> For full details see </w:t>
      </w:r>
      <w:r>
        <w:rPr>
          <w:lang w:val="en-GB"/>
        </w:rPr>
        <w:t>RMA 2011.</w:t>
      </w:r>
    </w:p>
  </w:footnote>
  <w:footnote w:id="28">
    <w:p w:rsidR="00DE7C24" w:rsidRPr="00305BCF" w:rsidRDefault="00DE7C24" w:rsidP="003A7967">
      <w:pPr>
        <w:pStyle w:val="Textonotapie"/>
      </w:pPr>
      <w:r>
        <w:rPr>
          <w:rStyle w:val="Refdenotaalpie"/>
        </w:rPr>
        <w:footnoteRef/>
      </w:r>
      <w:r>
        <w:t xml:space="preserve"> </w:t>
      </w:r>
      <w:r w:rsidRPr="00C45E18">
        <w:t xml:space="preserve">In the case of 1994 the NDVI data were largely missing and therefore it was necessary to fill in the values. </w:t>
      </w:r>
      <w:r>
        <w:t xml:space="preserve">The monthly time-series rainfall data for the 5 weather stations in SWBA shows that the start of spring 1994 (September to November) was exceptionally dry across all 5 stations and these months coincide with the missing NDVI data. The livestock sector (producers and technicians) in SWBA noted that spring 1994 had been a relatively severe drought period. </w:t>
      </w:r>
      <w:r w:rsidRPr="00F0345D">
        <w:rPr>
          <w:b/>
        </w:rPr>
        <w:t>In order to be conservative the study team assumed that 1994 was as severe a drought year as 2009 and therefore the 2009 NDVI values were used for 1994</w:t>
      </w:r>
      <w:r w:rsidRPr="00C45E18">
        <w:t>.</w:t>
      </w:r>
      <w:r>
        <w:t xml:space="preserve">  </w:t>
      </w:r>
    </w:p>
  </w:footnote>
  <w:footnote w:id="29">
    <w:p w:rsidR="00DE7C24" w:rsidRPr="003E4CE8" w:rsidRDefault="00DE7C24" w:rsidP="007D46D0">
      <w:pPr>
        <w:pStyle w:val="Textonotapie"/>
      </w:pPr>
      <w:r>
        <w:rPr>
          <w:rStyle w:val="Refdenotaalpie"/>
        </w:rPr>
        <w:footnoteRef/>
      </w:r>
      <w:r>
        <w:t xml:space="preserve"> The NDVI imagery captured by MODIS remote sensor for the period 2006-2007 was used for the conduction of vegetative coverage classification: this imagenery has a spatial and temporal resolution of 250 x 250 m and 16 days, respectively. The </w:t>
      </w:r>
      <w:proofErr w:type="gramStart"/>
      <w:r>
        <w:t>combination of supervised and non-supervised cluster statistical methods were</w:t>
      </w:r>
      <w:proofErr w:type="gramEnd"/>
      <w:r>
        <w:t xml:space="preserve"> used in order to get different vegetation classes for each image. The final output of this analysis is a land use maps comprised of the following categories, namely: forage resources, non-forage resources, and unclassified. Further explanation on the vegetative coverage characterization in the SWBA regions is provided in Annex 1.</w:t>
      </w:r>
    </w:p>
  </w:footnote>
  <w:footnote w:id="30">
    <w:p w:rsidR="00DE7C24" w:rsidRPr="00816E13" w:rsidRDefault="00DE7C24">
      <w:pPr>
        <w:pStyle w:val="Textonotapie"/>
      </w:pPr>
      <w:r>
        <w:rPr>
          <w:rStyle w:val="Refdenotaalpie"/>
        </w:rPr>
        <w:footnoteRef/>
      </w:r>
      <w:r>
        <w:t xml:space="preserve"> It is important to note that the linear interpolation technique was applied only for the purposes of the cluster analysis. With regards the rating analysis and more specifically to the year 1994 whose NDVI monthly values were missing, the 2009 NDVI values were used to complete the 1994 data series.</w:t>
      </w:r>
    </w:p>
  </w:footnote>
  <w:footnote w:id="31">
    <w:p w:rsidR="00DE7C24" w:rsidRPr="00366E1B" w:rsidRDefault="00DE7C24" w:rsidP="00192DBB">
      <w:pPr>
        <w:autoSpaceDE w:val="0"/>
        <w:autoSpaceDN w:val="0"/>
        <w:adjustRightInd w:val="0"/>
        <w:spacing w:after="0"/>
        <w:jc w:val="left"/>
        <w:rPr>
          <w:sz w:val="20"/>
          <w:szCs w:val="20"/>
          <w:lang w:val="en-GB"/>
        </w:rPr>
      </w:pPr>
      <w:r>
        <w:rPr>
          <w:rStyle w:val="Refdenotaalpie"/>
        </w:rPr>
        <w:footnoteRef/>
      </w:r>
      <w:r w:rsidRPr="00A85839">
        <w:rPr>
          <w:lang w:val="es-NI"/>
        </w:rPr>
        <w:t xml:space="preserve"> </w:t>
      </w:r>
      <w:r w:rsidRPr="00A85839">
        <w:rPr>
          <w:sz w:val="20"/>
          <w:szCs w:val="20"/>
          <w:lang w:val="es-NI"/>
        </w:rPr>
        <w:t xml:space="preserve">Texeira, M., M. Oyarzabal and D. Arocena (2011b).  </w:t>
      </w:r>
      <w:r w:rsidRPr="00A85839">
        <w:rPr>
          <w:rFonts w:eastAsia="Times New Roman"/>
          <w:bCs/>
          <w:sz w:val="20"/>
          <w:szCs w:val="20"/>
          <w:lang w:val="es-NI" w:eastAsia="en-GB"/>
        </w:rPr>
        <w:t>Patrones espaciales y temporales en el funcionamiento de la vegetación del sudoeste de Buenos Aires y el norte de la Patagonia: generaci</w:t>
      </w:r>
      <w:r>
        <w:rPr>
          <w:rFonts w:eastAsia="Times New Roman"/>
          <w:bCs/>
          <w:sz w:val="20"/>
          <w:szCs w:val="20"/>
          <w:lang w:val="es-NI" w:eastAsia="en-GB"/>
        </w:rPr>
        <w:t>ó</w:t>
      </w:r>
      <w:r w:rsidRPr="00A85839">
        <w:rPr>
          <w:rFonts w:eastAsia="Times New Roman"/>
          <w:bCs/>
          <w:sz w:val="20"/>
          <w:szCs w:val="20"/>
          <w:lang w:val="es-NI" w:eastAsia="en-GB"/>
        </w:rPr>
        <w:t xml:space="preserve">n de una base de datos de aplicación en la implementación de seguros agropecuarios. </w:t>
      </w:r>
      <w:proofErr w:type="gramStart"/>
      <w:r>
        <w:rPr>
          <w:rFonts w:eastAsia="Times New Roman"/>
          <w:bCs/>
          <w:sz w:val="20"/>
          <w:szCs w:val="20"/>
          <w:lang w:val="en-GB" w:eastAsia="en-GB"/>
        </w:rPr>
        <w:t>Facultad de Agronomia, Universidad de Buenos Aires, Argentina.</w:t>
      </w:r>
      <w:proofErr w:type="gramEnd"/>
    </w:p>
  </w:footnote>
  <w:footnote w:id="32">
    <w:p w:rsidR="00DE7C24" w:rsidRPr="005A1565" w:rsidRDefault="00DE7C24">
      <w:pPr>
        <w:pStyle w:val="Textonotapie"/>
      </w:pPr>
      <w:r w:rsidRPr="005A1565">
        <w:rPr>
          <w:rStyle w:val="Refdenotaalpie"/>
        </w:rPr>
        <w:footnoteRef/>
      </w:r>
      <w:r w:rsidRPr="005A1565">
        <w:t xml:space="preserve"> Pixels with more than 5% of missing data were removed, and ad</w:t>
      </w:r>
      <w:r>
        <w:t>ditional</w:t>
      </w:r>
      <w:r w:rsidRPr="005A1565">
        <w:t xml:space="preserve"> pixels were excluded after a visual inspection of the pixel centroid location. </w:t>
      </w:r>
    </w:p>
  </w:footnote>
  <w:footnote w:id="33">
    <w:p w:rsidR="00DE7C24" w:rsidRDefault="00DE7C24" w:rsidP="00630186">
      <w:pPr>
        <w:pStyle w:val="Textonotapie"/>
      </w:pPr>
      <w:r>
        <w:rPr>
          <w:rStyle w:val="Refdenotaalpie"/>
        </w:rPr>
        <w:footnoteRef/>
      </w:r>
      <w:r>
        <w:t xml:space="preserve"> “Cuartel”: administrative sub-division of a </w:t>
      </w:r>
      <w:r>
        <w:rPr>
          <w:i/>
        </w:rPr>
        <w:t>Department (Partido)</w:t>
      </w:r>
    </w:p>
  </w:footnote>
  <w:footnote w:id="34">
    <w:p w:rsidR="00DE7C24" w:rsidRPr="00E43164" w:rsidRDefault="00DE7C24" w:rsidP="006D75A9">
      <w:pPr>
        <w:pStyle w:val="Textonotapie"/>
        <w:rPr>
          <w:lang w:val="en-GB"/>
        </w:rPr>
      </w:pPr>
      <w:r>
        <w:rPr>
          <w:rStyle w:val="Refdenotaalpie"/>
        </w:rPr>
        <w:footnoteRef/>
      </w:r>
      <w:r>
        <w:t xml:space="preserve"> </w:t>
      </w:r>
      <w:r w:rsidRPr="00E43164">
        <w:rPr>
          <w:lang w:val="en-GB"/>
        </w:rPr>
        <w:t>See Cryer and Chan (2008), Chapter 3, to see the difference between a “deterministic” trend and a “stochastic” trend that could arise in a time series data set.</w:t>
      </w:r>
    </w:p>
  </w:footnote>
  <w:footnote w:id="35">
    <w:p w:rsidR="008B1279" w:rsidRPr="00C209D7" w:rsidRDefault="008B1279" w:rsidP="008B1279">
      <w:pPr>
        <w:pStyle w:val="Textonotapie"/>
      </w:pPr>
      <w:r>
        <w:rPr>
          <w:rStyle w:val="Refdenotaalpie"/>
        </w:rPr>
        <w:footnoteRef/>
      </w:r>
      <w:r>
        <w:t xml:space="preserve"> The p</w:t>
      </w:r>
      <w:r w:rsidRPr="00F133C6">
        <w:t xml:space="preserve">ayout in 1994 is identical to that in 2009, because </w:t>
      </w:r>
      <w:r>
        <w:t xml:space="preserve">the missing NDVI </w:t>
      </w:r>
      <w:r w:rsidRPr="00F133C6">
        <w:t>data in</w:t>
      </w:r>
      <w:r>
        <w:t xml:space="preserve"> 1994 were</w:t>
      </w:r>
      <w:r w:rsidRPr="00F133C6">
        <w:t xml:space="preserve"> replaced by </w:t>
      </w:r>
      <w:r>
        <w:t xml:space="preserve">the actual NDVI </w:t>
      </w:r>
      <w:r w:rsidRPr="00F133C6">
        <w:t>data in 2009</w:t>
      </w:r>
      <w:r>
        <w:t xml:space="preserve"> which was the worst loss year</w:t>
      </w:r>
      <w:r w:rsidRPr="00F133C6">
        <w:t>. See Table 5.7.</w:t>
      </w:r>
    </w:p>
  </w:footnote>
  <w:footnote w:id="36">
    <w:p w:rsidR="00DE7C24" w:rsidRPr="00AC5375" w:rsidRDefault="00DE7C24">
      <w:pPr>
        <w:pStyle w:val="Textonotapie"/>
      </w:pPr>
      <w:r>
        <w:rPr>
          <w:rStyle w:val="Refdenotaalpie"/>
        </w:rPr>
        <w:footnoteRef/>
      </w:r>
      <w:r>
        <w:t xml:space="preserve"> </w:t>
      </w:r>
      <w:r w:rsidRPr="001A24FC">
        <w:t xml:space="preserve">It is worth to emphasize that data in 1994 were replaced by data in 2009. This is the reason why 1994 it seems extreme too. </w:t>
      </w:r>
    </w:p>
  </w:footnote>
  <w:footnote w:id="37">
    <w:p w:rsidR="00DE7C24" w:rsidRPr="006821DF" w:rsidRDefault="00DE7C24" w:rsidP="000043EB">
      <w:pPr>
        <w:pStyle w:val="Textonotapie"/>
      </w:pPr>
      <w:r>
        <w:rPr>
          <w:rStyle w:val="Refdenotaalpie"/>
        </w:rPr>
        <w:footnoteRef/>
      </w:r>
      <w:r>
        <w:t xml:space="preserve"> </w:t>
      </w:r>
      <w:r w:rsidRPr="006821DF">
        <w:t>Specialists from LART-FAUBA decided to use the period of 2006-2007 as it was the last period when the SWBA region experienced adverse weather conditions.</w:t>
      </w:r>
    </w:p>
  </w:footnote>
  <w:footnote w:id="38">
    <w:p w:rsidR="00DE7C24" w:rsidRPr="00827E77" w:rsidRDefault="00DE7C24" w:rsidP="00680E4C">
      <w:pPr>
        <w:pStyle w:val="Textonotapie"/>
      </w:pPr>
      <w:r w:rsidRPr="00827E77">
        <w:rPr>
          <w:rStyle w:val="Refdenotaalpie"/>
        </w:rPr>
        <w:footnoteRef/>
      </w:r>
      <w:r w:rsidRPr="00827E77">
        <w:t xml:space="preserve"> See </w:t>
      </w:r>
      <w:r w:rsidRPr="001A24FC">
        <w:t>Section 3</w:t>
      </w:r>
      <w:r w:rsidRPr="00827E77">
        <w:t xml:space="preserve"> for the details of the product design. </w:t>
      </w:r>
    </w:p>
  </w:footnote>
  <w:footnote w:id="39">
    <w:p w:rsidR="00DE7C24" w:rsidRDefault="00DE7C24" w:rsidP="00680E4C">
      <w:pPr>
        <w:pStyle w:val="Textonotapie"/>
      </w:pPr>
      <w:r w:rsidRPr="00827E77">
        <w:rPr>
          <w:rStyle w:val="Refdenotaalpie"/>
        </w:rPr>
        <w:footnoteRef/>
      </w:r>
      <w:r w:rsidRPr="00827E77">
        <w:t xml:space="preserve"> See Section </w:t>
      </w:r>
      <w:r w:rsidRPr="001A24FC">
        <w:t>3.2</w:t>
      </w:r>
      <w:r w:rsidRPr="00827E77">
        <w:t>.</w:t>
      </w:r>
    </w:p>
  </w:footnote>
  <w:footnote w:id="40">
    <w:p w:rsidR="00DE7C24" w:rsidRPr="000A0B0B" w:rsidRDefault="00DE7C24" w:rsidP="00680E4C">
      <w:pPr>
        <w:pStyle w:val="Textonotapie"/>
      </w:pPr>
      <w:r w:rsidRPr="000A0B0B">
        <w:rPr>
          <w:rStyle w:val="Refdenotaalpie"/>
        </w:rPr>
        <w:footnoteRef/>
      </w:r>
      <w:r w:rsidRPr="000A0B0B">
        <w:t xml:space="preserve"> This expression refers to the setting in the Excel Rating Tool. </w:t>
      </w:r>
    </w:p>
  </w:footnote>
  <w:footnote w:id="41">
    <w:p w:rsidR="00DE7C24" w:rsidRPr="00666122" w:rsidRDefault="00DE7C24" w:rsidP="00680E4C">
      <w:pPr>
        <w:pStyle w:val="Textonotapie"/>
      </w:pPr>
      <w:r w:rsidRPr="00666122">
        <w:rPr>
          <w:rStyle w:val="Refdenotaalpie"/>
        </w:rPr>
        <w:footnoteRef/>
      </w:r>
      <w:r w:rsidRPr="00666122">
        <w:t xml:space="preserve"> The names of the parameters </w:t>
      </w:r>
      <w:r>
        <w:t xml:space="preserve">in the spreadsheet </w:t>
      </w:r>
      <w:r w:rsidRPr="00666122">
        <w:t>are in Spanish because the Rating Tool was developed to be shared with the stakeholders in Argentina.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24" w:rsidRDefault="00DE7C2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C2E"/>
    <w:multiLevelType w:val="multilevel"/>
    <w:tmpl w:val="555AE60A"/>
    <w:lvl w:ilvl="0">
      <w:start w:val="1"/>
      <w:numFmt w:val="decimal"/>
      <w:pStyle w:val="Ttulo"/>
      <w:suff w:val="nothing"/>
      <w:lvlText w:val="Chapter %1:  "/>
      <w:lvlJc w:val="left"/>
      <w:pPr>
        <w:ind w:left="0" w:firstLine="0"/>
      </w:pPr>
      <w:rPr>
        <w:rFonts w:hint="default"/>
      </w:rPr>
    </w:lvl>
    <w:lvl w:ilvl="1">
      <w:start w:val="1"/>
      <w:numFmt w:val="decimal"/>
      <w:suff w:val="nothing"/>
      <w:lvlText w:val="Table %1.%2:  "/>
      <w:lvlJc w:val="left"/>
      <w:pPr>
        <w:ind w:left="1872" w:firstLine="288"/>
      </w:pPr>
      <w:rPr>
        <w:rFonts w:ascii="Times New Roman" w:hAnsi="Times New Roman" w:hint="default"/>
        <w:b/>
        <w:i w:val="0"/>
        <w:sz w:val="24"/>
        <w:szCs w:val="24"/>
      </w:rPr>
    </w:lvl>
    <w:lvl w:ilvl="2">
      <w:start w:val="1"/>
      <w:numFmt w:val="decimal"/>
      <w:lvlRestart w:val="1"/>
      <w:lvlText w:val="Table %1.%2%3:  "/>
      <w:lvlJc w:val="left"/>
      <w:pPr>
        <w:tabs>
          <w:tab w:val="num" w:pos="360"/>
        </w:tabs>
        <w:ind w:left="0" w:firstLine="0"/>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A936D1"/>
    <w:multiLevelType w:val="multilevel"/>
    <w:tmpl w:val="13E80016"/>
    <w:lvl w:ilvl="0">
      <w:start w:val="1"/>
      <w:numFmt w:val="decimal"/>
      <w:pStyle w:val="APdroughtChapter"/>
      <w:suff w:val="nothing"/>
      <w:lvlText w:val="Chapter %1:  "/>
      <w:lvlJc w:val="left"/>
      <w:pPr>
        <w:ind w:left="162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droughtChapter"/>
      <w:lvlText w:val="%1.%2"/>
      <w:lvlJc w:val="left"/>
      <w:pPr>
        <w:tabs>
          <w:tab w:val="num" w:pos="720"/>
        </w:tabs>
        <w:ind w:left="0" w:firstLine="0"/>
      </w:pPr>
      <w:rPr>
        <w:rFonts w:hint="default"/>
      </w:rPr>
    </w:lvl>
    <w:lvl w:ilvl="2">
      <w:start w:val="1"/>
      <w:numFmt w:val="decimal"/>
      <w:pStyle w:val="APDroughtPara"/>
      <w:lvlText w:val="2.%3."/>
      <w:lvlJc w:val="left"/>
      <w:pPr>
        <w:tabs>
          <w:tab w:val="num" w:pos="720"/>
        </w:tabs>
        <w:ind w:left="0" w:firstLine="0"/>
      </w:pPr>
      <w:rPr>
        <w:rFonts w:hint="default"/>
        <w:b w:val="0"/>
        <w:i w:val="0"/>
        <w:sz w:val="22"/>
        <w:szCs w:val="22"/>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B6014CA"/>
    <w:multiLevelType w:val="hybridMultilevel"/>
    <w:tmpl w:val="5FA255E6"/>
    <w:lvl w:ilvl="0" w:tplc="8064EF00">
      <w:start w:val="1"/>
      <w:numFmt w:val="bullet"/>
      <w:pStyle w:val="StyleAPdroughtChapterCentered"/>
      <w:lvlText w:val=""/>
      <w:lvlJc w:val="left"/>
      <w:pPr>
        <w:tabs>
          <w:tab w:val="num" w:pos="720"/>
        </w:tabs>
        <w:ind w:left="720" w:hanging="360"/>
      </w:pPr>
      <w:rPr>
        <w:rFonts w:ascii="Symbol" w:hAnsi="Symbol" w:hint="default"/>
      </w:rPr>
    </w:lvl>
    <w:lvl w:ilvl="1" w:tplc="801E9840" w:tentative="1">
      <w:start w:val="1"/>
      <w:numFmt w:val="bullet"/>
      <w:lvlText w:val="o"/>
      <w:lvlJc w:val="left"/>
      <w:pPr>
        <w:tabs>
          <w:tab w:val="num" w:pos="1440"/>
        </w:tabs>
        <w:ind w:left="1440" w:hanging="360"/>
      </w:pPr>
      <w:rPr>
        <w:rFonts w:ascii="Courier New" w:hAnsi="Courier New" w:cs="Arial" w:hint="default"/>
      </w:rPr>
    </w:lvl>
    <w:lvl w:ilvl="2" w:tplc="60E0F4EA">
      <w:start w:val="1"/>
      <w:numFmt w:val="bullet"/>
      <w:lvlText w:val=""/>
      <w:lvlJc w:val="left"/>
      <w:pPr>
        <w:tabs>
          <w:tab w:val="num" w:pos="2160"/>
        </w:tabs>
        <w:ind w:left="2160" w:hanging="360"/>
      </w:pPr>
      <w:rPr>
        <w:rFonts w:ascii="Wingdings" w:hAnsi="Wingdings" w:hint="default"/>
      </w:rPr>
    </w:lvl>
    <w:lvl w:ilvl="3" w:tplc="34CE5058" w:tentative="1">
      <w:start w:val="1"/>
      <w:numFmt w:val="bullet"/>
      <w:lvlText w:val=""/>
      <w:lvlJc w:val="left"/>
      <w:pPr>
        <w:tabs>
          <w:tab w:val="num" w:pos="2880"/>
        </w:tabs>
        <w:ind w:left="2880" w:hanging="360"/>
      </w:pPr>
      <w:rPr>
        <w:rFonts w:ascii="Symbol" w:hAnsi="Symbol" w:hint="default"/>
      </w:rPr>
    </w:lvl>
    <w:lvl w:ilvl="4" w:tplc="D2B866CC" w:tentative="1">
      <w:start w:val="1"/>
      <w:numFmt w:val="bullet"/>
      <w:lvlText w:val="o"/>
      <w:lvlJc w:val="left"/>
      <w:pPr>
        <w:tabs>
          <w:tab w:val="num" w:pos="3600"/>
        </w:tabs>
        <w:ind w:left="3600" w:hanging="360"/>
      </w:pPr>
      <w:rPr>
        <w:rFonts w:ascii="Courier New" w:hAnsi="Courier New" w:cs="Arial" w:hint="default"/>
      </w:rPr>
    </w:lvl>
    <w:lvl w:ilvl="5" w:tplc="118471B4" w:tentative="1">
      <w:start w:val="1"/>
      <w:numFmt w:val="bullet"/>
      <w:lvlText w:val=""/>
      <w:lvlJc w:val="left"/>
      <w:pPr>
        <w:tabs>
          <w:tab w:val="num" w:pos="4320"/>
        </w:tabs>
        <w:ind w:left="4320" w:hanging="360"/>
      </w:pPr>
      <w:rPr>
        <w:rFonts w:ascii="Wingdings" w:hAnsi="Wingdings" w:hint="default"/>
      </w:rPr>
    </w:lvl>
    <w:lvl w:ilvl="6" w:tplc="A57068B8" w:tentative="1">
      <w:start w:val="1"/>
      <w:numFmt w:val="bullet"/>
      <w:lvlText w:val=""/>
      <w:lvlJc w:val="left"/>
      <w:pPr>
        <w:tabs>
          <w:tab w:val="num" w:pos="5040"/>
        </w:tabs>
        <w:ind w:left="5040" w:hanging="360"/>
      </w:pPr>
      <w:rPr>
        <w:rFonts w:ascii="Symbol" w:hAnsi="Symbol" w:hint="default"/>
      </w:rPr>
    </w:lvl>
    <w:lvl w:ilvl="7" w:tplc="C85CEF3A" w:tentative="1">
      <w:start w:val="1"/>
      <w:numFmt w:val="bullet"/>
      <w:lvlText w:val="o"/>
      <w:lvlJc w:val="left"/>
      <w:pPr>
        <w:tabs>
          <w:tab w:val="num" w:pos="5760"/>
        </w:tabs>
        <w:ind w:left="5760" w:hanging="360"/>
      </w:pPr>
      <w:rPr>
        <w:rFonts w:ascii="Courier New" w:hAnsi="Courier New" w:cs="Arial" w:hint="default"/>
      </w:rPr>
    </w:lvl>
    <w:lvl w:ilvl="8" w:tplc="24CE77E0" w:tentative="1">
      <w:start w:val="1"/>
      <w:numFmt w:val="bullet"/>
      <w:lvlText w:val=""/>
      <w:lvlJc w:val="left"/>
      <w:pPr>
        <w:tabs>
          <w:tab w:val="num" w:pos="6480"/>
        </w:tabs>
        <w:ind w:left="6480" w:hanging="360"/>
      </w:pPr>
      <w:rPr>
        <w:rFonts w:ascii="Wingdings" w:hAnsi="Wingdings" w:hint="default"/>
      </w:rPr>
    </w:lvl>
  </w:abstractNum>
  <w:abstractNum w:abstractNumId="3">
    <w:nsid w:val="171B249D"/>
    <w:multiLevelType w:val="multilevel"/>
    <w:tmpl w:val="FABA33BC"/>
    <w:styleLink w:val="Estilo1"/>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25073554"/>
    <w:multiLevelType w:val="multilevel"/>
    <w:tmpl w:val="A888F456"/>
    <w:lvl w:ilvl="0">
      <w:start w:val="1"/>
      <w:numFmt w:val="bullet"/>
      <w:lvlText w:val=""/>
      <w:lvlJc w:val="left"/>
      <w:pPr>
        <w:ind w:left="360" w:hanging="360"/>
      </w:pPr>
      <w:rPr>
        <w:rFonts w:ascii="Symbol" w:hAnsi="Symbol" w:hint="default"/>
      </w:rPr>
    </w:lvl>
    <w:lvl w:ilvl="1">
      <w:start w:val="1"/>
      <w:numFmt w:val="none"/>
      <w:suff w:val="nothing"/>
      <w:lvlText w:val=""/>
      <w:lvlJc w:val="left"/>
      <w:pPr>
        <w:ind w:left="0" w:firstLine="0"/>
      </w:pPr>
      <w:rPr>
        <w:rFonts w:hint="default"/>
      </w:rPr>
    </w:lvl>
    <w:lvl w:ilvl="2">
      <w:start w:val="1"/>
      <w:numFmt w:val="decimal"/>
      <w:lvlRestart w:val="1"/>
      <w:lvlText w:val="%1.%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nsid w:val="3C536AA7"/>
    <w:multiLevelType w:val="multilevel"/>
    <w:tmpl w:val="63505E1C"/>
    <w:lvl w:ilvl="0">
      <w:start w:val="1"/>
      <w:numFmt w:val="decimal"/>
      <w:lvlText w:val="%1."/>
      <w:lvlJc w:val="left"/>
      <w:pPr>
        <w:tabs>
          <w:tab w:val="num" w:pos="432"/>
        </w:tabs>
        <w:ind w:left="432" w:hanging="432"/>
      </w:pPr>
      <w:rPr>
        <w:rFonts w:hint="default"/>
      </w:rPr>
    </w:lvl>
    <w:lvl w:ilvl="1">
      <w:start w:val="1"/>
      <w:numFmt w:val="none"/>
      <w:lvlText w:val=""/>
      <w:lvlJc w:val="left"/>
      <w:pPr>
        <w:tabs>
          <w:tab w:val="num" w:pos="576"/>
        </w:tabs>
        <w:ind w:left="576" w:hanging="576"/>
      </w:pPr>
      <w:rPr>
        <w:rFonts w:hint="default"/>
      </w:rPr>
    </w:lvl>
    <w:lvl w:ilvl="2">
      <w:start w:val="1"/>
      <w:numFmt w:val="decimal"/>
      <w:lvlRestart w:val="1"/>
      <w:pStyle w:val="WB"/>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
    <w:nsid w:val="434F5FF9"/>
    <w:multiLevelType w:val="hybridMultilevel"/>
    <w:tmpl w:val="12A6A666"/>
    <w:lvl w:ilvl="0" w:tplc="67F23454">
      <w:start w:val="1"/>
      <w:numFmt w:val="lowerLetter"/>
      <w:lvlText w:val="(%1)"/>
      <w:lvlJc w:val="left"/>
      <w:pPr>
        <w:ind w:left="927" w:hanging="360"/>
      </w:pPr>
      <w:rPr>
        <w:rFonts w:hint="default"/>
      </w:rPr>
    </w:lvl>
    <w:lvl w:ilvl="1" w:tplc="EF04F18A" w:tentative="1">
      <w:start w:val="1"/>
      <w:numFmt w:val="lowerLetter"/>
      <w:lvlText w:val="%2."/>
      <w:lvlJc w:val="left"/>
      <w:pPr>
        <w:ind w:left="1647" w:hanging="360"/>
      </w:pPr>
    </w:lvl>
    <w:lvl w:ilvl="2" w:tplc="E904BFC8" w:tentative="1">
      <w:start w:val="1"/>
      <w:numFmt w:val="lowerRoman"/>
      <w:lvlText w:val="%3."/>
      <w:lvlJc w:val="right"/>
      <w:pPr>
        <w:ind w:left="2367" w:hanging="180"/>
      </w:pPr>
    </w:lvl>
    <w:lvl w:ilvl="3" w:tplc="DB72682C" w:tentative="1">
      <w:start w:val="1"/>
      <w:numFmt w:val="decimal"/>
      <w:lvlText w:val="%4."/>
      <w:lvlJc w:val="left"/>
      <w:pPr>
        <w:ind w:left="3087" w:hanging="360"/>
      </w:pPr>
    </w:lvl>
    <w:lvl w:ilvl="4" w:tplc="D6668D4A" w:tentative="1">
      <w:start w:val="1"/>
      <w:numFmt w:val="lowerLetter"/>
      <w:lvlText w:val="%5."/>
      <w:lvlJc w:val="left"/>
      <w:pPr>
        <w:ind w:left="3807" w:hanging="360"/>
      </w:pPr>
    </w:lvl>
    <w:lvl w:ilvl="5" w:tplc="CC4E7EE8" w:tentative="1">
      <w:start w:val="1"/>
      <w:numFmt w:val="lowerRoman"/>
      <w:lvlText w:val="%6."/>
      <w:lvlJc w:val="right"/>
      <w:pPr>
        <w:ind w:left="4527" w:hanging="180"/>
      </w:pPr>
    </w:lvl>
    <w:lvl w:ilvl="6" w:tplc="16FE7C8A" w:tentative="1">
      <w:start w:val="1"/>
      <w:numFmt w:val="decimal"/>
      <w:lvlText w:val="%7."/>
      <w:lvlJc w:val="left"/>
      <w:pPr>
        <w:ind w:left="5247" w:hanging="360"/>
      </w:pPr>
    </w:lvl>
    <w:lvl w:ilvl="7" w:tplc="271CBF3A" w:tentative="1">
      <w:start w:val="1"/>
      <w:numFmt w:val="lowerLetter"/>
      <w:lvlText w:val="%8."/>
      <w:lvlJc w:val="left"/>
      <w:pPr>
        <w:ind w:left="5967" w:hanging="360"/>
      </w:pPr>
    </w:lvl>
    <w:lvl w:ilvl="8" w:tplc="CF1CFED2" w:tentative="1">
      <w:start w:val="1"/>
      <w:numFmt w:val="lowerRoman"/>
      <w:lvlText w:val="%9."/>
      <w:lvlJc w:val="right"/>
      <w:pPr>
        <w:ind w:left="6687" w:hanging="180"/>
      </w:pPr>
    </w:lvl>
  </w:abstractNum>
  <w:abstractNum w:abstractNumId="7">
    <w:nsid w:val="44A94B4A"/>
    <w:multiLevelType w:val="hybridMultilevel"/>
    <w:tmpl w:val="99BC6586"/>
    <w:lvl w:ilvl="0" w:tplc="5C022402">
      <w:start w:val="1"/>
      <w:numFmt w:val="bullet"/>
      <w:pStyle w:val="TableBullet1"/>
      <w:lvlText w:val=""/>
      <w:lvlJc w:val="left"/>
      <w:pPr>
        <w:tabs>
          <w:tab w:val="num" w:pos="360"/>
        </w:tabs>
        <w:ind w:left="360" w:hanging="360"/>
      </w:pPr>
      <w:rPr>
        <w:rFonts w:ascii="Symbol" w:hAnsi="Symbol" w:hint="default"/>
      </w:rPr>
    </w:lvl>
    <w:lvl w:ilvl="1" w:tplc="D02A5BDE">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5DD76E8"/>
    <w:multiLevelType w:val="hybridMultilevel"/>
    <w:tmpl w:val="41723BEA"/>
    <w:lvl w:ilvl="0" w:tplc="AC42F81A">
      <w:start w:val="1"/>
      <w:numFmt w:val="decimal"/>
      <w:lvlText w:val="%1."/>
      <w:lvlJc w:val="left"/>
      <w:pPr>
        <w:ind w:left="720" w:hanging="360"/>
      </w:pPr>
      <w:rPr>
        <w:rFonts w:ascii="Times New Roman" w:hAnsi="Times New Roman" w:hint="default"/>
        <w:sz w:val="24"/>
      </w:rPr>
    </w:lvl>
    <w:lvl w:ilvl="1" w:tplc="9F2E179A" w:tentative="1">
      <w:start w:val="1"/>
      <w:numFmt w:val="lowerLetter"/>
      <w:lvlText w:val="%2."/>
      <w:lvlJc w:val="left"/>
      <w:pPr>
        <w:ind w:left="1440" w:hanging="360"/>
      </w:pPr>
    </w:lvl>
    <w:lvl w:ilvl="2" w:tplc="F3B8A222" w:tentative="1">
      <w:start w:val="1"/>
      <w:numFmt w:val="lowerRoman"/>
      <w:lvlText w:val="%3."/>
      <w:lvlJc w:val="right"/>
      <w:pPr>
        <w:ind w:left="2160" w:hanging="180"/>
      </w:pPr>
    </w:lvl>
    <w:lvl w:ilvl="3" w:tplc="95E04E4C" w:tentative="1">
      <w:start w:val="1"/>
      <w:numFmt w:val="decimal"/>
      <w:lvlText w:val="%4."/>
      <w:lvlJc w:val="left"/>
      <w:pPr>
        <w:ind w:left="2880" w:hanging="360"/>
      </w:pPr>
    </w:lvl>
    <w:lvl w:ilvl="4" w:tplc="1884FCDA" w:tentative="1">
      <w:start w:val="1"/>
      <w:numFmt w:val="lowerLetter"/>
      <w:lvlText w:val="%5."/>
      <w:lvlJc w:val="left"/>
      <w:pPr>
        <w:ind w:left="3600" w:hanging="360"/>
      </w:pPr>
    </w:lvl>
    <w:lvl w:ilvl="5" w:tplc="D870CBCA" w:tentative="1">
      <w:start w:val="1"/>
      <w:numFmt w:val="lowerRoman"/>
      <w:lvlText w:val="%6."/>
      <w:lvlJc w:val="right"/>
      <w:pPr>
        <w:ind w:left="4320" w:hanging="180"/>
      </w:pPr>
    </w:lvl>
    <w:lvl w:ilvl="6" w:tplc="A5FAE05A" w:tentative="1">
      <w:start w:val="1"/>
      <w:numFmt w:val="decimal"/>
      <w:lvlText w:val="%7."/>
      <w:lvlJc w:val="left"/>
      <w:pPr>
        <w:ind w:left="5040" w:hanging="360"/>
      </w:pPr>
    </w:lvl>
    <w:lvl w:ilvl="7" w:tplc="6AEEB840" w:tentative="1">
      <w:start w:val="1"/>
      <w:numFmt w:val="lowerLetter"/>
      <w:lvlText w:val="%8."/>
      <w:lvlJc w:val="left"/>
      <w:pPr>
        <w:ind w:left="5760" w:hanging="360"/>
      </w:pPr>
    </w:lvl>
    <w:lvl w:ilvl="8" w:tplc="171270C0" w:tentative="1">
      <w:start w:val="1"/>
      <w:numFmt w:val="lowerRoman"/>
      <w:lvlText w:val="%9."/>
      <w:lvlJc w:val="right"/>
      <w:pPr>
        <w:ind w:left="6480" w:hanging="180"/>
      </w:pPr>
    </w:lvl>
  </w:abstractNum>
  <w:abstractNum w:abstractNumId="9">
    <w:nsid w:val="45E410C6"/>
    <w:multiLevelType w:val="multilevel"/>
    <w:tmpl w:val="F4342FA8"/>
    <w:lvl w:ilvl="0">
      <w:start w:val="1"/>
      <w:numFmt w:val="decimal"/>
      <w:lvlText w:val="%1."/>
      <w:lvlJc w:val="left"/>
      <w:pPr>
        <w:ind w:left="360" w:hanging="360"/>
      </w:pPr>
      <w:rPr>
        <w:rFonts w:hint="default"/>
        <w:sz w:val="32"/>
      </w:rPr>
    </w:lvl>
    <w:lvl w:ilvl="1">
      <w:start w:val="1"/>
      <w:numFmt w:val="none"/>
      <w:suff w:val="nothing"/>
      <w:lvlText w:val=""/>
      <w:lvlJc w:val="left"/>
      <w:pPr>
        <w:ind w:left="0" w:firstLine="0"/>
      </w:pPr>
      <w:rPr>
        <w:rFonts w:hint="default"/>
      </w:rPr>
    </w:lvl>
    <w:lvl w:ilvl="2">
      <w:start w:val="1"/>
      <w:numFmt w:val="decimal"/>
      <w:lvlRestart w:val="1"/>
      <w:lvlText w:val="%1.%3."/>
      <w:lvlJc w:val="left"/>
      <w:pPr>
        <w:ind w:left="0" w:firstLine="0"/>
      </w:pPr>
      <w:rPr>
        <w:rFonts w:hint="default"/>
        <w:b w:val="0"/>
        <w:i w:val="0"/>
        <w:caps w:val="0"/>
        <w:strike w:val="0"/>
        <w:dstrike w:val="0"/>
        <w:vanish w:val="0"/>
        <w:color w:val="00000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8C4422D"/>
    <w:multiLevelType w:val="hybridMultilevel"/>
    <w:tmpl w:val="BF6AEEA2"/>
    <w:lvl w:ilvl="0" w:tplc="35044EC2">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1">
    <w:nsid w:val="4A917459"/>
    <w:multiLevelType w:val="multilevel"/>
    <w:tmpl w:val="D5BC08CA"/>
    <w:lvl w:ilvl="0">
      <w:start w:val="1"/>
      <w:numFmt w:val="decimal"/>
      <w:pStyle w:val="Ttulo1"/>
      <w:lvlText w:val="%1."/>
      <w:lvlJc w:val="left"/>
      <w:pPr>
        <w:ind w:left="360" w:hanging="360"/>
      </w:pPr>
      <w:rPr>
        <w:rFonts w:hint="default"/>
      </w:rPr>
    </w:lvl>
    <w:lvl w:ilvl="1">
      <w:start w:val="1"/>
      <w:numFmt w:val="none"/>
      <w:pStyle w:val="Subttulo"/>
      <w:suff w:val="nothing"/>
      <w:lvlText w:val=""/>
      <w:lvlJc w:val="left"/>
      <w:pPr>
        <w:ind w:left="0" w:firstLine="0"/>
      </w:pPr>
      <w:rPr>
        <w:rFonts w:hint="default"/>
      </w:rPr>
    </w:lvl>
    <w:lvl w:ilvl="2">
      <w:start w:val="1"/>
      <w:numFmt w:val="decimal"/>
      <w:lvlRestart w:val="1"/>
      <w:pStyle w:val="WBReport"/>
      <w:lvlText w:val="%1.%3."/>
      <w:lvlJc w:val="left"/>
      <w:pPr>
        <w:ind w:left="0" w:firstLine="0"/>
      </w:pPr>
      <w:rPr>
        <w:rFonts w:hint="default"/>
        <w:b w:val="0"/>
        <w:i w:val="0"/>
        <w:caps w:val="0"/>
        <w:strike w:val="0"/>
        <w:dstrike w:val="0"/>
        <w:vanish w:val="0"/>
        <w:color w:val="00000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BFA7B57"/>
    <w:multiLevelType w:val="hybridMultilevel"/>
    <w:tmpl w:val="32206BC2"/>
    <w:lvl w:ilvl="0" w:tplc="4CB4FA1C">
      <w:start w:val="1"/>
      <w:numFmt w:val="lowerRoman"/>
      <w:lvlText w:val="%1."/>
      <w:lvlJc w:val="left"/>
      <w:pPr>
        <w:ind w:left="720" w:hanging="360"/>
      </w:pPr>
      <w:rPr>
        <w:rFonts w:hint="default"/>
      </w:rPr>
    </w:lvl>
    <w:lvl w:ilvl="1" w:tplc="B8AE9E5E" w:tentative="1">
      <w:start w:val="1"/>
      <w:numFmt w:val="lowerLetter"/>
      <w:lvlText w:val="%2."/>
      <w:lvlJc w:val="left"/>
      <w:pPr>
        <w:ind w:left="1440" w:hanging="360"/>
      </w:pPr>
    </w:lvl>
    <w:lvl w:ilvl="2" w:tplc="0DFAB5E2" w:tentative="1">
      <w:start w:val="1"/>
      <w:numFmt w:val="lowerRoman"/>
      <w:lvlText w:val="%3."/>
      <w:lvlJc w:val="right"/>
      <w:pPr>
        <w:ind w:left="2160" w:hanging="180"/>
      </w:pPr>
    </w:lvl>
    <w:lvl w:ilvl="3" w:tplc="2412250A" w:tentative="1">
      <w:start w:val="1"/>
      <w:numFmt w:val="decimal"/>
      <w:lvlText w:val="%4."/>
      <w:lvlJc w:val="left"/>
      <w:pPr>
        <w:ind w:left="2880" w:hanging="360"/>
      </w:pPr>
    </w:lvl>
    <w:lvl w:ilvl="4" w:tplc="5916F294" w:tentative="1">
      <w:start w:val="1"/>
      <w:numFmt w:val="lowerLetter"/>
      <w:lvlText w:val="%5."/>
      <w:lvlJc w:val="left"/>
      <w:pPr>
        <w:ind w:left="3600" w:hanging="360"/>
      </w:pPr>
    </w:lvl>
    <w:lvl w:ilvl="5" w:tplc="C70CC712" w:tentative="1">
      <w:start w:val="1"/>
      <w:numFmt w:val="lowerRoman"/>
      <w:lvlText w:val="%6."/>
      <w:lvlJc w:val="right"/>
      <w:pPr>
        <w:ind w:left="4320" w:hanging="180"/>
      </w:pPr>
    </w:lvl>
    <w:lvl w:ilvl="6" w:tplc="9A58A1AA" w:tentative="1">
      <w:start w:val="1"/>
      <w:numFmt w:val="decimal"/>
      <w:lvlText w:val="%7."/>
      <w:lvlJc w:val="left"/>
      <w:pPr>
        <w:ind w:left="5040" w:hanging="360"/>
      </w:pPr>
    </w:lvl>
    <w:lvl w:ilvl="7" w:tplc="84EA884A" w:tentative="1">
      <w:start w:val="1"/>
      <w:numFmt w:val="lowerLetter"/>
      <w:lvlText w:val="%8."/>
      <w:lvlJc w:val="left"/>
      <w:pPr>
        <w:ind w:left="5760" w:hanging="360"/>
      </w:pPr>
    </w:lvl>
    <w:lvl w:ilvl="8" w:tplc="062E7CDE" w:tentative="1">
      <w:start w:val="1"/>
      <w:numFmt w:val="lowerRoman"/>
      <w:lvlText w:val="%9."/>
      <w:lvlJc w:val="right"/>
      <w:pPr>
        <w:ind w:left="6480" w:hanging="180"/>
      </w:pPr>
    </w:lvl>
  </w:abstractNum>
  <w:abstractNum w:abstractNumId="13">
    <w:nsid w:val="4FFA7B3A"/>
    <w:multiLevelType w:val="hybridMultilevel"/>
    <w:tmpl w:val="4C4438BA"/>
    <w:lvl w:ilvl="0" w:tplc="7B863868">
      <w:start w:val="1"/>
      <w:numFmt w:val="bullet"/>
      <w:lvlText w:val=""/>
      <w:lvlJc w:val="left"/>
      <w:pPr>
        <w:ind w:left="1346" w:hanging="360"/>
      </w:pPr>
      <w:rPr>
        <w:rFonts w:ascii="Symbol" w:hAnsi="Symbol" w:hint="default"/>
      </w:rPr>
    </w:lvl>
    <w:lvl w:ilvl="1" w:tplc="4D4CADC4" w:tentative="1">
      <w:start w:val="1"/>
      <w:numFmt w:val="bullet"/>
      <w:lvlText w:val="o"/>
      <w:lvlJc w:val="left"/>
      <w:pPr>
        <w:ind w:left="2066" w:hanging="360"/>
      </w:pPr>
      <w:rPr>
        <w:rFonts w:ascii="Courier New" w:hAnsi="Courier New" w:cs="Courier New" w:hint="default"/>
      </w:rPr>
    </w:lvl>
    <w:lvl w:ilvl="2" w:tplc="D8049CF0" w:tentative="1">
      <w:start w:val="1"/>
      <w:numFmt w:val="bullet"/>
      <w:lvlText w:val=""/>
      <w:lvlJc w:val="left"/>
      <w:pPr>
        <w:ind w:left="2786" w:hanging="360"/>
      </w:pPr>
      <w:rPr>
        <w:rFonts w:ascii="Wingdings" w:hAnsi="Wingdings" w:hint="default"/>
      </w:rPr>
    </w:lvl>
    <w:lvl w:ilvl="3" w:tplc="1C60E796" w:tentative="1">
      <w:start w:val="1"/>
      <w:numFmt w:val="bullet"/>
      <w:lvlText w:val=""/>
      <w:lvlJc w:val="left"/>
      <w:pPr>
        <w:ind w:left="3506" w:hanging="360"/>
      </w:pPr>
      <w:rPr>
        <w:rFonts w:ascii="Symbol" w:hAnsi="Symbol" w:hint="default"/>
      </w:rPr>
    </w:lvl>
    <w:lvl w:ilvl="4" w:tplc="E56C1646" w:tentative="1">
      <w:start w:val="1"/>
      <w:numFmt w:val="bullet"/>
      <w:lvlText w:val="o"/>
      <w:lvlJc w:val="left"/>
      <w:pPr>
        <w:ind w:left="4226" w:hanging="360"/>
      </w:pPr>
      <w:rPr>
        <w:rFonts w:ascii="Courier New" w:hAnsi="Courier New" w:cs="Courier New" w:hint="default"/>
      </w:rPr>
    </w:lvl>
    <w:lvl w:ilvl="5" w:tplc="0456A846" w:tentative="1">
      <w:start w:val="1"/>
      <w:numFmt w:val="bullet"/>
      <w:lvlText w:val=""/>
      <w:lvlJc w:val="left"/>
      <w:pPr>
        <w:ind w:left="4946" w:hanging="360"/>
      </w:pPr>
      <w:rPr>
        <w:rFonts w:ascii="Wingdings" w:hAnsi="Wingdings" w:hint="default"/>
      </w:rPr>
    </w:lvl>
    <w:lvl w:ilvl="6" w:tplc="16424D16" w:tentative="1">
      <w:start w:val="1"/>
      <w:numFmt w:val="bullet"/>
      <w:lvlText w:val=""/>
      <w:lvlJc w:val="left"/>
      <w:pPr>
        <w:ind w:left="5666" w:hanging="360"/>
      </w:pPr>
      <w:rPr>
        <w:rFonts w:ascii="Symbol" w:hAnsi="Symbol" w:hint="default"/>
      </w:rPr>
    </w:lvl>
    <w:lvl w:ilvl="7" w:tplc="DD06DAC6" w:tentative="1">
      <w:start w:val="1"/>
      <w:numFmt w:val="bullet"/>
      <w:lvlText w:val="o"/>
      <w:lvlJc w:val="left"/>
      <w:pPr>
        <w:ind w:left="6386" w:hanging="360"/>
      </w:pPr>
      <w:rPr>
        <w:rFonts w:ascii="Courier New" w:hAnsi="Courier New" w:cs="Courier New" w:hint="default"/>
      </w:rPr>
    </w:lvl>
    <w:lvl w:ilvl="8" w:tplc="736C7708" w:tentative="1">
      <w:start w:val="1"/>
      <w:numFmt w:val="bullet"/>
      <w:lvlText w:val=""/>
      <w:lvlJc w:val="left"/>
      <w:pPr>
        <w:ind w:left="7106" w:hanging="360"/>
      </w:pPr>
      <w:rPr>
        <w:rFonts w:ascii="Wingdings" w:hAnsi="Wingdings" w:hint="default"/>
      </w:rPr>
    </w:lvl>
  </w:abstractNum>
  <w:abstractNum w:abstractNumId="14">
    <w:nsid w:val="5D1530A7"/>
    <w:multiLevelType w:val="hybridMultilevel"/>
    <w:tmpl w:val="4FE6953E"/>
    <w:lvl w:ilvl="0" w:tplc="8B5A7FEE">
      <w:start w:val="1"/>
      <w:numFmt w:val="bullet"/>
      <w:lvlText w:val=""/>
      <w:lvlJc w:val="left"/>
      <w:pPr>
        <w:ind w:left="1287" w:hanging="360"/>
      </w:pPr>
      <w:rPr>
        <w:rFonts w:ascii="Symbol" w:hAnsi="Symbol" w:hint="default"/>
      </w:rPr>
    </w:lvl>
    <w:lvl w:ilvl="1" w:tplc="50C64DD6">
      <w:start w:val="1"/>
      <w:numFmt w:val="bullet"/>
      <w:lvlText w:val="−"/>
      <w:lvlJc w:val="left"/>
      <w:pPr>
        <w:ind w:left="2007" w:hanging="360"/>
      </w:pPr>
      <w:rPr>
        <w:rFonts w:ascii="Tahoma" w:hAnsi="Tahoma" w:hint="default"/>
      </w:rPr>
    </w:lvl>
    <w:lvl w:ilvl="2" w:tplc="99E69DD4" w:tentative="1">
      <w:start w:val="1"/>
      <w:numFmt w:val="bullet"/>
      <w:lvlText w:val=""/>
      <w:lvlJc w:val="left"/>
      <w:pPr>
        <w:ind w:left="2727" w:hanging="360"/>
      </w:pPr>
      <w:rPr>
        <w:rFonts w:ascii="Wingdings" w:hAnsi="Wingdings" w:hint="default"/>
      </w:rPr>
    </w:lvl>
    <w:lvl w:ilvl="3" w:tplc="69181856" w:tentative="1">
      <w:start w:val="1"/>
      <w:numFmt w:val="bullet"/>
      <w:lvlText w:val=""/>
      <w:lvlJc w:val="left"/>
      <w:pPr>
        <w:ind w:left="3447" w:hanging="360"/>
      </w:pPr>
      <w:rPr>
        <w:rFonts w:ascii="Symbol" w:hAnsi="Symbol" w:hint="default"/>
      </w:rPr>
    </w:lvl>
    <w:lvl w:ilvl="4" w:tplc="F216F806" w:tentative="1">
      <w:start w:val="1"/>
      <w:numFmt w:val="bullet"/>
      <w:lvlText w:val="o"/>
      <w:lvlJc w:val="left"/>
      <w:pPr>
        <w:ind w:left="4167" w:hanging="360"/>
      </w:pPr>
      <w:rPr>
        <w:rFonts w:ascii="Courier New" w:hAnsi="Courier New" w:cs="Courier New" w:hint="default"/>
      </w:rPr>
    </w:lvl>
    <w:lvl w:ilvl="5" w:tplc="B634897E" w:tentative="1">
      <w:start w:val="1"/>
      <w:numFmt w:val="bullet"/>
      <w:lvlText w:val=""/>
      <w:lvlJc w:val="left"/>
      <w:pPr>
        <w:ind w:left="4887" w:hanging="360"/>
      </w:pPr>
      <w:rPr>
        <w:rFonts w:ascii="Wingdings" w:hAnsi="Wingdings" w:hint="default"/>
      </w:rPr>
    </w:lvl>
    <w:lvl w:ilvl="6" w:tplc="4972EF60" w:tentative="1">
      <w:start w:val="1"/>
      <w:numFmt w:val="bullet"/>
      <w:lvlText w:val=""/>
      <w:lvlJc w:val="left"/>
      <w:pPr>
        <w:ind w:left="5607" w:hanging="360"/>
      </w:pPr>
      <w:rPr>
        <w:rFonts w:ascii="Symbol" w:hAnsi="Symbol" w:hint="default"/>
      </w:rPr>
    </w:lvl>
    <w:lvl w:ilvl="7" w:tplc="D65AD3A0" w:tentative="1">
      <w:start w:val="1"/>
      <w:numFmt w:val="bullet"/>
      <w:lvlText w:val="o"/>
      <w:lvlJc w:val="left"/>
      <w:pPr>
        <w:ind w:left="6327" w:hanging="360"/>
      </w:pPr>
      <w:rPr>
        <w:rFonts w:ascii="Courier New" w:hAnsi="Courier New" w:cs="Courier New" w:hint="default"/>
      </w:rPr>
    </w:lvl>
    <w:lvl w:ilvl="8" w:tplc="52EC8368" w:tentative="1">
      <w:start w:val="1"/>
      <w:numFmt w:val="bullet"/>
      <w:lvlText w:val=""/>
      <w:lvlJc w:val="left"/>
      <w:pPr>
        <w:ind w:left="7047" w:hanging="360"/>
      </w:pPr>
      <w:rPr>
        <w:rFonts w:ascii="Wingdings" w:hAnsi="Wingdings" w:hint="default"/>
      </w:rPr>
    </w:lvl>
  </w:abstractNum>
  <w:abstractNum w:abstractNumId="15">
    <w:nsid w:val="6C1A6DA5"/>
    <w:multiLevelType w:val="hybridMultilevel"/>
    <w:tmpl w:val="1F322774"/>
    <w:lvl w:ilvl="0" w:tplc="B388EA1E">
      <w:start w:val="1"/>
      <w:numFmt w:val="bullet"/>
      <w:lvlText w:val=""/>
      <w:lvlJc w:val="left"/>
      <w:pPr>
        <w:ind w:left="720" w:hanging="360"/>
      </w:pPr>
      <w:rPr>
        <w:rFonts w:ascii="Symbol" w:hAnsi="Symbol" w:hint="default"/>
      </w:rPr>
    </w:lvl>
    <w:lvl w:ilvl="1" w:tplc="1C8EEE64" w:tentative="1">
      <w:start w:val="1"/>
      <w:numFmt w:val="bullet"/>
      <w:lvlText w:val="o"/>
      <w:lvlJc w:val="left"/>
      <w:pPr>
        <w:ind w:left="1440" w:hanging="360"/>
      </w:pPr>
      <w:rPr>
        <w:rFonts w:ascii="Courier New" w:hAnsi="Courier New" w:cs="Courier New" w:hint="default"/>
      </w:rPr>
    </w:lvl>
    <w:lvl w:ilvl="2" w:tplc="06BA70D6" w:tentative="1">
      <w:start w:val="1"/>
      <w:numFmt w:val="bullet"/>
      <w:lvlText w:val=""/>
      <w:lvlJc w:val="left"/>
      <w:pPr>
        <w:ind w:left="2160" w:hanging="360"/>
      </w:pPr>
      <w:rPr>
        <w:rFonts w:ascii="Wingdings" w:hAnsi="Wingdings" w:hint="default"/>
      </w:rPr>
    </w:lvl>
    <w:lvl w:ilvl="3" w:tplc="4168B3FC" w:tentative="1">
      <w:start w:val="1"/>
      <w:numFmt w:val="bullet"/>
      <w:lvlText w:val=""/>
      <w:lvlJc w:val="left"/>
      <w:pPr>
        <w:ind w:left="2880" w:hanging="360"/>
      </w:pPr>
      <w:rPr>
        <w:rFonts w:ascii="Symbol" w:hAnsi="Symbol" w:hint="default"/>
      </w:rPr>
    </w:lvl>
    <w:lvl w:ilvl="4" w:tplc="7996D766" w:tentative="1">
      <w:start w:val="1"/>
      <w:numFmt w:val="bullet"/>
      <w:lvlText w:val="o"/>
      <w:lvlJc w:val="left"/>
      <w:pPr>
        <w:ind w:left="3600" w:hanging="360"/>
      </w:pPr>
      <w:rPr>
        <w:rFonts w:ascii="Courier New" w:hAnsi="Courier New" w:cs="Courier New" w:hint="default"/>
      </w:rPr>
    </w:lvl>
    <w:lvl w:ilvl="5" w:tplc="0A28F342" w:tentative="1">
      <w:start w:val="1"/>
      <w:numFmt w:val="bullet"/>
      <w:lvlText w:val=""/>
      <w:lvlJc w:val="left"/>
      <w:pPr>
        <w:ind w:left="4320" w:hanging="360"/>
      </w:pPr>
      <w:rPr>
        <w:rFonts w:ascii="Wingdings" w:hAnsi="Wingdings" w:hint="default"/>
      </w:rPr>
    </w:lvl>
    <w:lvl w:ilvl="6" w:tplc="BF18A122" w:tentative="1">
      <w:start w:val="1"/>
      <w:numFmt w:val="bullet"/>
      <w:lvlText w:val=""/>
      <w:lvlJc w:val="left"/>
      <w:pPr>
        <w:ind w:left="5040" w:hanging="360"/>
      </w:pPr>
      <w:rPr>
        <w:rFonts w:ascii="Symbol" w:hAnsi="Symbol" w:hint="default"/>
      </w:rPr>
    </w:lvl>
    <w:lvl w:ilvl="7" w:tplc="205CB084" w:tentative="1">
      <w:start w:val="1"/>
      <w:numFmt w:val="bullet"/>
      <w:lvlText w:val="o"/>
      <w:lvlJc w:val="left"/>
      <w:pPr>
        <w:ind w:left="5760" w:hanging="360"/>
      </w:pPr>
      <w:rPr>
        <w:rFonts w:ascii="Courier New" w:hAnsi="Courier New" w:cs="Courier New" w:hint="default"/>
      </w:rPr>
    </w:lvl>
    <w:lvl w:ilvl="8" w:tplc="4D10C984" w:tentative="1">
      <w:start w:val="1"/>
      <w:numFmt w:val="bullet"/>
      <w:lvlText w:val=""/>
      <w:lvlJc w:val="left"/>
      <w:pPr>
        <w:ind w:left="6480" w:hanging="360"/>
      </w:pPr>
      <w:rPr>
        <w:rFonts w:ascii="Wingdings" w:hAnsi="Wingdings" w:hint="default"/>
      </w:rPr>
    </w:lvl>
  </w:abstractNum>
  <w:abstractNum w:abstractNumId="16">
    <w:nsid w:val="6FD5176E"/>
    <w:multiLevelType w:val="hybridMultilevel"/>
    <w:tmpl w:val="FD8C7374"/>
    <w:lvl w:ilvl="0" w:tplc="D62AA27C">
      <w:start w:val="1"/>
      <w:numFmt w:val="bullet"/>
      <w:lvlText w:val=""/>
      <w:lvlJc w:val="left"/>
      <w:pPr>
        <w:ind w:left="720" w:hanging="360"/>
      </w:pPr>
      <w:rPr>
        <w:rFonts w:ascii="Symbol" w:hAnsi="Symbol" w:hint="default"/>
      </w:rPr>
    </w:lvl>
    <w:lvl w:ilvl="1" w:tplc="E9E45D3E" w:tentative="1">
      <w:start w:val="1"/>
      <w:numFmt w:val="bullet"/>
      <w:lvlText w:val="o"/>
      <w:lvlJc w:val="left"/>
      <w:pPr>
        <w:ind w:left="1440" w:hanging="360"/>
      </w:pPr>
      <w:rPr>
        <w:rFonts w:ascii="Courier New" w:hAnsi="Courier New" w:cs="Courier New" w:hint="default"/>
      </w:rPr>
    </w:lvl>
    <w:lvl w:ilvl="2" w:tplc="78DE8224" w:tentative="1">
      <w:start w:val="1"/>
      <w:numFmt w:val="bullet"/>
      <w:lvlText w:val=""/>
      <w:lvlJc w:val="left"/>
      <w:pPr>
        <w:ind w:left="2160" w:hanging="360"/>
      </w:pPr>
      <w:rPr>
        <w:rFonts w:ascii="Wingdings" w:hAnsi="Wingdings" w:hint="default"/>
      </w:rPr>
    </w:lvl>
    <w:lvl w:ilvl="3" w:tplc="FC8E8542" w:tentative="1">
      <w:start w:val="1"/>
      <w:numFmt w:val="bullet"/>
      <w:lvlText w:val=""/>
      <w:lvlJc w:val="left"/>
      <w:pPr>
        <w:ind w:left="2880" w:hanging="360"/>
      </w:pPr>
      <w:rPr>
        <w:rFonts w:ascii="Symbol" w:hAnsi="Symbol" w:hint="default"/>
      </w:rPr>
    </w:lvl>
    <w:lvl w:ilvl="4" w:tplc="BCE672D0" w:tentative="1">
      <w:start w:val="1"/>
      <w:numFmt w:val="bullet"/>
      <w:lvlText w:val="o"/>
      <w:lvlJc w:val="left"/>
      <w:pPr>
        <w:ind w:left="3600" w:hanging="360"/>
      </w:pPr>
      <w:rPr>
        <w:rFonts w:ascii="Courier New" w:hAnsi="Courier New" w:cs="Courier New" w:hint="default"/>
      </w:rPr>
    </w:lvl>
    <w:lvl w:ilvl="5" w:tplc="F4F6302C" w:tentative="1">
      <w:start w:val="1"/>
      <w:numFmt w:val="bullet"/>
      <w:lvlText w:val=""/>
      <w:lvlJc w:val="left"/>
      <w:pPr>
        <w:ind w:left="4320" w:hanging="360"/>
      </w:pPr>
      <w:rPr>
        <w:rFonts w:ascii="Wingdings" w:hAnsi="Wingdings" w:hint="default"/>
      </w:rPr>
    </w:lvl>
    <w:lvl w:ilvl="6" w:tplc="8D961576" w:tentative="1">
      <w:start w:val="1"/>
      <w:numFmt w:val="bullet"/>
      <w:lvlText w:val=""/>
      <w:lvlJc w:val="left"/>
      <w:pPr>
        <w:ind w:left="5040" w:hanging="360"/>
      </w:pPr>
      <w:rPr>
        <w:rFonts w:ascii="Symbol" w:hAnsi="Symbol" w:hint="default"/>
      </w:rPr>
    </w:lvl>
    <w:lvl w:ilvl="7" w:tplc="A4783F84" w:tentative="1">
      <w:start w:val="1"/>
      <w:numFmt w:val="bullet"/>
      <w:lvlText w:val="o"/>
      <w:lvlJc w:val="left"/>
      <w:pPr>
        <w:ind w:left="5760" w:hanging="360"/>
      </w:pPr>
      <w:rPr>
        <w:rFonts w:ascii="Courier New" w:hAnsi="Courier New" w:cs="Courier New" w:hint="default"/>
      </w:rPr>
    </w:lvl>
    <w:lvl w:ilvl="8" w:tplc="213EAB92" w:tentative="1">
      <w:start w:val="1"/>
      <w:numFmt w:val="bullet"/>
      <w:lvlText w:val=""/>
      <w:lvlJc w:val="left"/>
      <w:pPr>
        <w:ind w:left="6480" w:hanging="360"/>
      </w:pPr>
      <w:rPr>
        <w:rFonts w:ascii="Wingdings" w:hAnsi="Wingdings" w:hint="default"/>
      </w:rPr>
    </w:lvl>
  </w:abstractNum>
  <w:abstractNum w:abstractNumId="17">
    <w:nsid w:val="73654C9E"/>
    <w:multiLevelType w:val="hybridMultilevel"/>
    <w:tmpl w:val="D4E272FC"/>
    <w:lvl w:ilvl="0" w:tplc="BE10DD66">
      <w:start w:val="1"/>
      <w:numFmt w:val="lowerLetter"/>
      <w:lvlText w:val="(%1)"/>
      <w:lvlJc w:val="left"/>
      <w:pPr>
        <w:ind w:left="1080" w:hanging="360"/>
      </w:pPr>
      <w:rPr>
        <w:rFonts w:hint="default"/>
      </w:rPr>
    </w:lvl>
    <w:lvl w:ilvl="1" w:tplc="21F89F7C" w:tentative="1">
      <w:start w:val="1"/>
      <w:numFmt w:val="lowerLetter"/>
      <w:lvlText w:val="%2."/>
      <w:lvlJc w:val="left"/>
      <w:pPr>
        <w:ind w:left="1800" w:hanging="360"/>
      </w:pPr>
    </w:lvl>
    <w:lvl w:ilvl="2" w:tplc="C43CA740" w:tentative="1">
      <w:start w:val="1"/>
      <w:numFmt w:val="lowerRoman"/>
      <w:lvlText w:val="%3."/>
      <w:lvlJc w:val="right"/>
      <w:pPr>
        <w:ind w:left="2520" w:hanging="180"/>
      </w:pPr>
    </w:lvl>
    <w:lvl w:ilvl="3" w:tplc="D804C36E" w:tentative="1">
      <w:start w:val="1"/>
      <w:numFmt w:val="decimal"/>
      <w:lvlText w:val="%4."/>
      <w:lvlJc w:val="left"/>
      <w:pPr>
        <w:ind w:left="3240" w:hanging="360"/>
      </w:pPr>
    </w:lvl>
    <w:lvl w:ilvl="4" w:tplc="CD3895B8" w:tentative="1">
      <w:start w:val="1"/>
      <w:numFmt w:val="lowerLetter"/>
      <w:lvlText w:val="%5."/>
      <w:lvlJc w:val="left"/>
      <w:pPr>
        <w:ind w:left="3960" w:hanging="360"/>
      </w:pPr>
    </w:lvl>
    <w:lvl w:ilvl="5" w:tplc="17E88D8A" w:tentative="1">
      <w:start w:val="1"/>
      <w:numFmt w:val="lowerRoman"/>
      <w:lvlText w:val="%6."/>
      <w:lvlJc w:val="right"/>
      <w:pPr>
        <w:ind w:left="4680" w:hanging="180"/>
      </w:pPr>
    </w:lvl>
    <w:lvl w:ilvl="6" w:tplc="48E4D996" w:tentative="1">
      <w:start w:val="1"/>
      <w:numFmt w:val="decimal"/>
      <w:lvlText w:val="%7."/>
      <w:lvlJc w:val="left"/>
      <w:pPr>
        <w:ind w:left="5400" w:hanging="360"/>
      </w:pPr>
    </w:lvl>
    <w:lvl w:ilvl="7" w:tplc="CD70E6B6" w:tentative="1">
      <w:start w:val="1"/>
      <w:numFmt w:val="lowerLetter"/>
      <w:lvlText w:val="%8."/>
      <w:lvlJc w:val="left"/>
      <w:pPr>
        <w:ind w:left="6120" w:hanging="360"/>
      </w:pPr>
    </w:lvl>
    <w:lvl w:ilvl="8" w:tplc="861A3486" w:tentative="1">
      <w:start w:val="1"/>
      <w:numFmt w:val="lowerRoman"/>
      <w:lvlText w:val="%9."/>
      <w:lvlJc w:val="right"/>
      <w:pPr>
        <w:ind w:left="6840" w:hanging="180"/>
      </w:pPr>
    </w:lvl>
  </w:abstractNum>
  <w:abstractNum w:abstractNumId="18">
    <w:nsid w:val="74B0678F"/>
    <w:multiLevelType w:val="multilevel"/>
    <w:tmpl w:val="A888F456"/>
    <w:lvl w:ilvl="0">
      <w:start w:val="1"/>
      <w:numFmt w:val="bullet"/>
      <w:lvlText w:val=""/>
      <w:lvlJc w:val="left"/>
      <w:pPr>
        <w:ind w:left="360" w:hanging="360"/>
      </w:pPr>
      <w:rPr>
        <w:rFonts w:ascii="Symbol" w:hAnsi="Symbol" w:hint="default"/>
      </w:rPr>
    </w:lvl>
    <w:lvl w:ilvl="1">
      <w:start w:val="1"/>
      <w:numFmt w:val="none"/>
      <w:suff w:val="nothing"/>
      <w:lvlText w:val=""/>
      <w:lvlJc w:val="left"/>
      <w:pPr>
        <w:ind w:left="0" w:firstLine="0"/>
      </w:pPr>
      <w:rPr>
        <w:rFonts w:hint="default"/>
      </w:rPr>
    </w:lvl>
    <w:lvl w:ilvl="2">
      <w:start w:val="1"/>
      <w:numFmt w:val="decimal"/>
      <w:lvlRestart w:val="1"/>
      <w:lvlText w:val="%1.%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nsid w:val="7E4457E6"/>
    <w:multiLevelType w:val="multilevel"/>
    <w:tmpl w:val="C40A46D0"/>
    <w:styleLink w:val="Style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EA55BB2"/>
    <w:multiLevelType w:val="hybridMultilevel"/>
    <w:tmpl w:val="E800D704"/>
    <w:lvl w:ilvl="0" w:tplc="A8DA2B52">
      <w:start w:val="1"/>
      <w:numFmt w:val="bullet"/>
      <w:lvlText w:val=""/>
      <w:lvlJc w:val="left"/>
      <w:pPr>
        <w:ind w:left="60" w:hanging="360"/>
      </w:pPr>
      <w:rPr>
        <w:rFonts w:ascii="Wingdings" w:hAnsi="Wingdings" w:hint="default"/>
      </w:rPr>
    </w:lvl>
    <w:lvl w:ilvl="1" w:tplc="74B243D8" w:tentative="1">
      <w:start w:val="1"/>
      <w:numFmt w:val="bullet"/>
      <w:lvlText w:val="o"/>
      <w:lvlJc w:val="left"/>
      <w:pPr>
        <w:ind w:left="780" w:hanging="360"/>
      </w:pPr>
      <w:rPr>
        <w:rFonts w:ascii="Courier New" w:hAnsi="Courier New" w:cs="Courier New" w:hint="default"/>
      </w:rPr>
    </w:lvl>
    <w:lvl w:ilvl="2" w:tplc="25AA5872" w:tentative="1">
      <w:start w:val="1"/>
      <w:numFmt w:val="bullet"/>
      <w:lvlText w:val=""/>
      <w:lvlJc w:val="left"/>
      <w:pPr>
        <w:ind w:left="1500" w:hanging="360"/>
      </w:pPr>
      <w:rPr>
        <w:rFonts w:ascii="Wingdings" w:hAnsi="Wingdings" w:hint="default"/>
      </w:rPr>
    </w:lvl>
    <w:lvl w:ilvl="3" w:tplc="7BFE3952" w:tentative="1">
      <w:start w:val="1"/>
      <w:numFmt w:val="bullet"/>
      <w:lvlText w:val=""/>
      <w:lvlJc w:val="left"/>
      <w:pPr>
        <w:ind w:left="2220" w:hanging="360"/>
      </w:pPr>
      <w:rPr>
        <w:rFonts w:ascii="Symbol" w:hAnsi="Symbol" w:hint="default"/>
      </w:rPr>
    </w:lvl>
    <w:lvl w:ilvl="4" w:tplc="5A6C408E" w:tentative="1">
      <w:start w:val="1"/>
      <w:numFmt w:val="bullet"/>
      <w:lvlText w:val="o"/>
      <w:lvlJc w:val="left"/>
      <w:pPr>
        <w:ind w:left="2940" w:hanging="360"/>
      </w:pPr>
      <w:rPr>
        <w:rFonts w:ascii="Courier New" w:hAnsi="Courier New" w:cs="Courier New" w:hint="default"/>
      </w:rPr>
    </w:lvl>
    <w:lvl w:ilvl="5" w:tplc="DAC41C42" w:tentative="1">
      <w:start w:val="1"/>
      <w:numFmt w:val="bullet"/>
      <w:lvlText w:val=""/>
      <w:lvlJc w:val="left"/>
      <w:pPr>
        <w:ind w:left="3660" w:hanging="360"/>
      </w:pPr>
      <w:rPr>
        <w:rFonts w:ascii="Wingdings" w:hAnsi="Wingdings" w:hint="default"/>
      </w:rPr>
    </w:lvl>
    <w:lvl w:ilvl="6" w:tplc="79A41D0C" w:tentative="1">
      <w:start w:val="1"/>
      <w:numFmt w:val="bullet"/>
      <w:lvlText w:val=""/>
      <w:lvlJc w:val="left"/>
      <w:pPr>
        <w:ind w:left="4380" w:hanging="360"/>
      </w:pPr>
      <w:rPr>
        <w:rFonts w:ascii="Symbol" w:hAnsi="Symbol" w:hint="default"/>
      </w:rPr>
    </w:lvl>
    <w:lvl w:ilvl="7" w:tplc="BEEC0F6C" w:tentative="1">
      <w:start w:val="1"/>
      <w:numFmt w:val="bullet"/>
      <w:lvlText w:val="o"/>
      <w:lvlJc w:val="left"/>
      <w:pPr>
        <w:ind w:left="5100" w:hanging="360"/>
      </w:pPr>
      <w:rPr>
        <w:rFonts w:ascii="Courier New" w:hAnsi="Courier New" w:cs="Courier New" w:hint="default"/>
      </w:rPr>
    </w:lvl>
    <w:lvl w:ilvl="8" w:tplc="F2262E16" w:tentative="1">
      <w:start w:val="1"/>
      <w:numFmt w:val="bullet"/>
      <w:lvlText w:val=""/>
      <w:lvlJc w:val="left"/>
      <w:pPr>
        <w:ind w:left="5820" w:hanging="360"/>
      </w:pPr>
      <w:rPr>
        <w:rFonts w:ascii="Wingdings" w:hAnsi="Wingdings" w:hint="default"/>
      </w:rPr>
    </w:lvl>
  </w:abstractNum>
  <w:num w:numId="1">
    <w:abstractNumId w:val="0"/>
  </w:num>
  <w:num w:numId="2">
    <w:abstractNumId w:val="1"/>
  </w:num>
  <w:num w:numId="3">
    <w:abstractNumId w:val="2"/>
  </w:num>
  <w:num w:numId="4">
    <w:abstractNumId w:val="19"/>
  </w:num>
  <w:num w:numId="5">
    <w:abstractNumId w:val="20"/>
  </w:num>
  <w:num w:numId="6">
    <w:abstractNumId w:val="17"/>
  </w:num>
  <w:num w:numId="7">
    <w:abstractNumId w:val="15"/>
  </w:num>
  <w:num w:numId="8">
    <w:abstractNumId w:val="3"/>
  </w:num>
  <w:num w:numId="9">
    <w:abstractNumId w:val="8"/>
  </w:num>
  <w:num w:numId="10">
    <w:abstractNumId w:val="18"/>
  </w:num>
  <w:num w:numId="11">
    <w:abstractNumId w:val="4"/>
  </w:num>
  <w:num w:numId="12">
    <w:abstractNumId w:val="6"/>
  </w:num>
  <w:num w:numId="13">
    <w:abstractNumId w:val="14"/>
  </w:num>
  <w:num w:numId="14">
    <w:abstractNumId w:val="13"/>
  </w:num>
  <w:num w:numId="15">
    <w:abstractNumId w:val="16"/>
  </w:num>
  <w:num w:numId="16">
    <w:abstractNumId w:val="12"/>
  </w:num>
  <w:num w:numId="17">
    <w:abstractNumId w:val="10"/>
  </w:num>
  <w:num w:numId="18">
    <w:abstractNumId w:val="5"/>
  </w:num>
  <w:num w:numId="19">
    <w:abstractNumId w:val="11"/>
  </w:num>
  <w:num w:numId="20">
    <w:abstractNumId w:val="9"/>
  </w:num>
  <w:num w:numId="21">
    <w:abstractNumId w:val="7"/>
  </w:num>
  <w:num w:numId="22">
    <w:abstractNumId w:val="11"/>
  </w:num>
  <w:num w:numId="23">
    <w:abstractNumId w:val="11"/>
  </w:num>
  <w:num w:numId="24">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A250F"/>
    <w:rsid w:val="00000764"/>
    <w:rsid w:val="00000FC5"/>
    <w:rsid w:val="000013C9"/>
    <w:rsid w:val="00002A3D"/>
    <w:rsid w:val="00003404"/>
    <w:rsid w:val="0000346B"/>
    <w:rsid w:val="00004344"/>
    <w:rsid w:val="000043EB"/>
    <w:rsid w:val="000045DD"/>
    <w:rsid w:val="0000463F"/>
    <w:rsid w:val="00004B87"/>
    <w:rsid w:val="00004FC0"/>
    <w:rsid w:val="00005895"/>
    <w:rsid w:val="000078B0"/>
    <w:rsid w:val="00011029"/>
    <w:rsid w:val="000129A6"/>
    <w:rsid w:val="000136B3"/>
    <w:rsid w:val="0001579D"/>
    <w:rsid w:val="00015CAB"/>
    <w:rsid w:val="000170A1"/>
    <w:rsid w:val="00020030"/>
    <w:rsid w:val="00021002"/>
    <w:rsid w:val="000247CD"/>
    <w:rsid w:val="00026EDD"/>
    <w:rsid w:val="0002752A"/>
    <w:rsid w:val="00027F56"/>
    <w:rsid w:val="00030A46"/>
    <w:rsid w:val="00030E9D"/>
    <w:rsid w:val="000319AC"/>
    <w:rsid w:val="00031EC9"/>
    <w:rsid w:val="000338A6"/>
    <w:rsid w:val="00033EFF"/>
    <w:rsid w:val="00035C1F"/>
    <w:rsid w:val="0003673B"/>
    <w:rsid w:val="000371B5"/>
    <w:rsid w:val="00040289"/>
    <w:rsid w:val="00040BD9"/>
    <w:rsid w:val="00044268"/>
    <w:rsid w:val="00044332"/>
    <w:rsid w:val="0004512A"/>
    <w:rsid w:val="0004578F"/>
    <w:rsid w:val="000465E4"/>
    <w:rsid w:val="00047936"/>
    <w:rsid w:val="00047CFC"/>
    <w:rsid w:val="00051209"/>
    <w:rsid w:val="000517A7"/>
    <w:rsid w:val="00052E5B"/>
    <w:rsid w:val="00055FAA"/>
    <w:rsid w:val="000610B7"/>
    <w:rsid w:val="000623F1"/>
    <w:rsid w:val="00063834"/>
    <w:rsid w:val="000638F3"/>
    <w:rsid w:val="00063C37"/>
    <w:rsid w:val="00063CF2"/>
    <w:rsid w:val="000659FB"/>
    <w:rsid w:val="00066050"/>
    <w:rsid w:val="00066FBF"/>
    <w:rsid w:val="00067E14"/>
    <w:rsid w:val="0007007E"/>
    <w:rsid w:val="00071C4A"/>
    <w:rsid w:val="000732DF"/>
    <w:rsid w:val="00074352"/>
    <w:rsid w:val="00074D6B"/>
    <w:rsid w:val="00075310"/>
    <w:rsid w:val="00077115"/>
    <w:rsid w:val="00081809"/>
    <w:rsid w:val="00081FF2"/>
    <w:rsid w:val="00083ADB"/>
    <w:rsid w:val="000843BB"/>
    <w:rsid w:val="00086780"/>
    <w:rsid w:val="00087BE1"/>
    <w:rsid w:val="00091054"/>
    <w:rsid w:val="000943E6"/>
    <w:rsid w:val="00095044"/>
    <w:rsid w:val="00095750"/>
    <w:rsid w:val="000A09E0"/>
    <w:rsid w:val="000A0B0B"/>
    <w:rsid w:val="000A0EE1"/>
    <w:rsid w:val="000A39AE"/>
    <w:rsid w:val="000A3BE8"/>
    <w:rsid w:val="000A4398"/>
    <w:rsid w:val="000A4AA8"/>
    <w:rsid w:val="000A6629"/>
    <w:rsid w:val="000A6819"/>
    <w:rsid w:val="000A6966"/>
    <w:rsid w:val="000A7CB9"/>
    <w:rsid w:val="000B178D"/>
    <w:rsid w:val="000B2120"/>
    <w:rsid w:val="000B3066"/>
    <w:rsid w:val="000B4B57"/>
    <w:rsid w:val="000B4D8C"/>
    <w:rsid w:val="000B6DF1"/>
    <w:rsid w:val="000B72EA"/>
    <w:rsid w:val="000B7332"/>
    <w:rsid w:val="000C2382"/>
    <w:rsid w:val="000C25D8"/>
    <w:rsid w:val="000C4237"/>
    <w:rsid w:val="000C4F83"/>
    <w:rsid w:val="000C54C8"/>
    <w:rsid w:val="000C570F"/>
    <w:rsid w:val="000C6233"/>
    <w:rsid w:val="000D0B87"/>
    <w:rsid w:val="000D0C70"/>
    <w:rsid w:val="000D25AD"/>
    <w:rsid w:val="000D3FE3"/>
    <w:rsid w:val="000D4BD7"/>
    <w:rsid w:val="000D537D"/>
    <w:rsid w:val="000D543E"/>
    <w:rsid w:val="000D5450"/>
    <w:rsid w:val="000D6171"/>
    <w:rsid w:val="000D7BA6"/>
    <w:rsid w:val="000E0632"/>
    <w:rsid w:val="000E1012"/>
    <w:rsid w:val="000E35EC"/>
    <w:rsid w:val="000E484C"/>
    <w:rsid w:val="000E50DF"/>
    <w:rsid w:val="000E5A2F"/>
    <w:rsid w:val="000E5FD3"/>
    <w:rsid w:val="000E6436"/>
    <w:rsid w:val="000E682F"/>
    <w:rsid w:val="000E7305"/>
    <w:rsid w:val="000E7A4E"/>
    <w:rsid w:val="000E7ADC"/>
    <w:rsid w:val="000F0A23"/>
    <w:rsid w:val="000F132B"/>
    <w:rsid w:val="000F71D8"/>
    <w:rsid w:val="000F72CE"/>
    <w:rsid w:val="000F769F"/>
    <w:rsid w:val="00101090"/>
    <w:rsid w:val="00103739"/>
    <w:rsid w:val="001039A5"/>
    <w:rsid w:val="0010482E"/>
    <w:rsid w:val="0010647C"/>
    <w:rsid w:val="00110A04"/>
    <w:rsid w:val="00112C13"/>
    <w:rsid w:val="00113E5A"/>
    <w:rsid w:val="0011444A"/>
    <w:rsid w:val="001146F6"/>
    <w:rsid w:val="001158E7"/>
    <w:rsid w:val="00122124"/>
    <w:rsid w:val="00122B17"/>
    <w:rsid w:val="001230CF"/>
    <w:rsid w:val="00125708"/>
    <w:rsid w:val="001271A3"/>
    <w:rsid w:val="0012759F"/>
    <w:rsid w:val="00127717"/>
    <w:rsid w:val="00130500"/>
    <w:rsid w:val="001317D6"/>
    <w:rsid w:val="00132CDF"/>
    <w:rsid w:val="00132F21"/>
    <w:rsid w:val="0013313C"/>
    <w:rsid w:val="001339EA"/>
    <w:rsid w:val="00134AF4"/>
    <w:rsid w:val="00134FF7"/>
    <w:rsid w:val="0013663D"/>
    <w:rsid w:val="00136D37"/>
    <w:rsid w:val="00136D57"/>
    <w:rsid w:val="0014258C"/>
    <w:rsid w:val="00142D56"/>
    <w:rsid w:val="00143CD0"/>
    <w:rsid w:val="00145DC4"/>
    <w:rsid w:val="00146DC3"/>
    <w:rsid w:val="00147A1B"/>
    <w:rsid w:val="00152AB1"/>
    <w:rsid w:val="00152AD6"/>
    <w:rsid w:val="00152FD9"/>
    <w:rsid w:val="00153160"/>
    <w:rsid w:val="001544B2"/>
    <w:rsid w:val="00155214"/>
    <w:rsid w:val="00155754"/>
    <w:rsid w:val="00156714"/>
    <w:rsid w:val="001602AB"/>
    <w:rsid w:val="00160E76"/>
    <w:rsid w:val="00160E7B"/>
    <w:rsid w:val="00161934"/>
    <w:rsid w:val="001647FB"/>
    <w:rsid w:val="00165F21"/>
    <w:rsid w:val="001710F7"/>
    <w:rsid w:val="00171E1A"/>
    <w:rsid w:val="0017252C"/>
    <w:rsid w:val="0017394D"/>
    <w:rsid w:val="00176B34"/>
    <w:rsid w:val="001777D9"/>
    <w:rsid w:val="00177810"/>
    <w:rsid w:val="00180411"/>
    <w:rsid w:val="001807AA"/>
    <w:rsid w:val="00182801"/>
    <w:rsid w:val="00183A15"/>
    <w:rsid w:val="00184023"/>
    <w:rsid w:val="00187801"/>
    <w:rsid w:val="00190054"/>
    <w:rsid w:val="001925D7"/>
    <w:rsid w:val="00192922"/>
    <w:rsid w:val="00192D30"/>
    <w:rsid w:val="00192DBB"/>
    <w:rsid w:val="00193C3F"/>
    <w:rsid w:val="00193F63"/>
    <w:rsid w:val="00194A02"/>
    <w:rsid w:val="00195321"/>
    <w:rsid w:val="001956F6"/>
    <w:rsid w:val="00195D95"/>
    <w:rsid w:val="001967C3"/>
    <w:rsid w:val="00197D32"/>
    <w:rsid w:val="001A0350"/>
    <w:rsid w:val="001A24FC"/>
    <w:rsid w:val="001A3255"/>
    <w:rsid w:val="001A4E4F"/>
    <w:rsid w:val="001A5EC6"/>
    <w:rsid w:val="001A6BAE"/>
    <w:rsid w:val="001A7480"/>
    <w:rsid w:val="001A7AE0"/>
    <w:rsid w:val="001B327F"/>
    <w:rsid w:val="001B5D39"/>
    <w:rsid w:val="001B6E25"/>
    <w:rsid w:val="001C017E"/>
    <w:rsid w:val="001C1F84"/>
    <w:rsid w:val="001C1F90"/>
    <w:rsid w:val="001C1FF0"/>
    <w:rsid w:val="001C6610"/>
    <w:rsid w:val="001C661C"/>
    <w:rsid w:val="001C73B3"/>
    <w:rsid w:val="001C73F2"/>
    <w:rsid w:val="001D0697"/>
    <w:rsid w:val="001D0E81"/>
    <w:rsid w:val="001D1370"/>
    <w:rsid w:val="001D15E2"/>
    <w:rsid w:val="001D1A0D"/>
    <w:rsid w:val="001D35E7"/>
    <w:rsid w:val="001D3E70"/>
    <w:rsid w:val="001D58B7"/>
    <w:rsid w:val="001D6076"/>
    <w:rsid w:val="001D7527"/>
    <w:rsid w:val="001E05A7"/>
    <w:rsid w:val="001E05EF"/>
    <w:rsid w:val="001E1448"/>
    <w:rsid w:val="001E2F03"/>
    <w:rsid w:val="001E3271"/>
    <w:rsid w:val="001E4135"/>
    <w:rsid w:val="001E4E6D"/>
    <w:rsid w:val="001E5F92"/>
    <w:rsid w:val="001E6580"/>
    <w:rsid w:val="001E6FBE"/>
    <w:rsid w:val="001E7C2A"/>
    <w:rsid w:val="001E7D03"/>
    <w:rsid w:val="001F0512"/>
    <w:rsid w:val="001F0A88"/>
    <w:rsid w:val="001F14CA"/>
    <w:rsid w:val="001F19C9"/>
    <w:rsid w:val="001F1DBB"/>
    <w:rsid w:val="001F28BE"/>
    <w:rsid w:val="001F7363"/>
    <w:rsid w:val="00200DE8"/>
    <w:rsid w:val="00202317"/>
    <w:rsid w:val="002028B9"/>
    <w:rsid w:val="00202A8E"/>
    <w:rsid w:val="00203184"/>
    <w:rsid w:val="002050E9"/>
    <w:rsid w:val="00205592"/>
    <w:rsid w:val="00205F82"/>
    <w:rsid w:val="002076F0"/>
    <w:rsid w:val="00210716"/>
    <w:rsid w:val="00211A57"/>
    <w:rsid w:val="002126B1"/>
    <w:rsid w:val="00213625"/>
    <w:rsid w:val="0021384E"/>
    <w:rsid w:val="002146A5"/>
    <w:rsid w:val="002158EE"/>
    <w:rsid w:val="002174B3"/>
    <w:rsid w:val="002178E5"/>
    <w:rsid w:val="00221548"/>
    <w:rsid w:val="0022222D"/>
    <w:rsid w:val="00223125"/>
    <w:rsid w:val="0022327C"/>
    <w:rsid w:val="002243E2"/>
    <w:rsid w:val="00224915"/>
    <w:rsid w:val="002258F5"/>
    <w:rsid w:val="00226221"/>
    <w:rsid w:val="00226580"/>
    <w:rsid w:val="0022658A"/>
    <w:rsid w:val="002268FC"/>
    <w:rsid w:val="00231C57"/>
    <w:rsid w:val="00233491"/>
    <w:rsid w:val="0023488C"/>
    <w:rsid w:val="00234913"/>
    <w:rsid w:val="002358F1"/>
    <w:rsid w:val="00237B3B"/>
    <w:rsid w:val="002401DA"/>
    <w:rsid w:val="00240488"/>
    <w:rsid w:val="00241955"/>
    <w:rsid w:val="00242A97"/>
    <w:rsid w:val="00244AFF"/>
    <w:rsid w:val="002508FB"/>
    <w:rsid w:val="002515AA"/>
    <w:rsid w:val="00251C06"/>
    <w:rsid w:val="00251EEF"/>
    <w:rsid w:val="00252250"/>
    <w:rsid w:val="00252561"/>
    <w:rsid w:val="002525C1"/>
    <w:rsid w:val="00252FBF"/>
    <w:rsid w:val="00253782"/>
    <w:rsid w:val="00253AD1"/>
    <w:rsid w:val="00253FF7"/>
    <w:rsid w:val="00254D89"/>
    <w:rsid w:val="002558DC"/>
    <w:rsid w:val="00255C7B"/>
    <w:rsid w:val="00255EB8"/>
    <w:rsid w:val="00256DA9"/>
    <w:rsid w:val="002613D5"/>
    <w:rsid w:val="00262EC2"/>
    <w:rsid w:val="00266CCB"/>
    <w:rsid w:val="00267008"/>
    <w:rsid w:val="002674ED"/>
    <w:rsid w:val="00270642"/>
    <w:rsid w:val="002707DC"/>
    <w:rsid w:val="00271084"/>
    <w:rsid w:val="0027371A"/>
    <w:rsid w:val="00273925"/>
    <w:rsid w:val="00273A4B"/>
    <w:rsid w:val="00274E5B"/>
    <w:rsid w:val="00275BEF"/>
    <w:rsid w:val="00276D54"/>
    <w:rsid w:val="002770E2"/>
    <w:rsid w:val="0027770B"/>
    <w:rsid w:val="002800E3"/>
    <w:rsid w:val="00280282"/>
    <w:rsid w:val="00280578"/>
    <w:rsid w:val="00280DC6"/>
    <w:rsid w:val="0028284A"/>
    <w:rsid w:val="00283D49"/>
    <w:rsid w:val="002902E1"/>
    <w:rsid w:val="00291EF3"/>
    <w:rsid w:val="00291F28"/>
    <w:rsid w:val="00292414"/>
    <w:rsid w:val="00292F55"/>
    <w:rsid w:val="00296FFC"/>
    <w:rsid w:val="00297B11"/>
    <w:rsid w:val="002A0145"/>
    <w:rsid w:val="002A080F"/>
    <w:rsid w:val="002A4028"/>
    <w:rsid w:val="002A5178"/>
    <w:rsid w:val="002A5818"/>
    <w:rsid w:val="002A5EC3"/>
    <w:rsid w:val="002A5FB2"/>
    <w:rsid w:val="002A6683"/>
    <w:rsid w:val="002A6DCB"/>
    <w:rsid w:val="002B0FC0"/>
    <w:rsid w:val="002B1A71"/>
    <w:rsid w:val="002B231F"/>
    <w:rsid w:val="002B2A61"/>
    <w:rsid w:val="002B3F72"/>
    <w:rsid w:val="002B64AE"/>
    <w:rsid w:val="002B6E30"/>
    <w:rsid w:val="002B71E1"/>
    <w:rsid w:val="002C0628"/>
    <w:rsid w:val="002C3017"/>
    <w:rsid w:val="002C4079"/>
    <w:rsid w:val="002C506E"/>
    <w:rsid w:val="002C66A6"/>
    <w:rsid w:val="002C6C70"/>
    <w:rsid w:val="002C70D4"/>
    <w:rsid w:val="002D2D05"/>
    <w:rsid w:val="002D30C2"/>
    <w:rsid w:val="002D40FC"/>
    <w:rsid w:val="002D4700"/>
    <w:rsid w:val="002D5577"/>
    <w:rsid w:val="002D5B5F"/>
    <w:rsid w:val="002D5C27"/>
    <w:rsid w:val="002D6262"/>
    <w:rsid w:val="002D6A3A"/>
    <w:rsid w:val="002D7356"/>
    <w:rsid w:val="002E0690"/>
    <w:rsid w:val="002E1B87"/>
    <w:rsid w:val="002E41A2"/>
    <w:rsid w:val="002E45DB"/>
    <w:rsid w:val="002E5389"/>
    <w:rsid w:val="002E6E12"/>
    <w:rsid w:val="002E7023"/>
    <w:rsid w:val="002E7BCF"/>
    <w:rsid w:val="002F09E9"/>
    <w:rsid w:val="002F13B0"/>
    <w:rsid w:val="002F15CA"/>
    <w:rsid w:val="002F20E2"/>
    <w:rsid w:val="002F726F"/>
    <w:rsid w:val="00300B9D"/>
    <w:rsid w:val="00301070"/>
    <w:rsid w:val="0030201F"/>
    <w:rsid w:val="003053CE"/>
    <w:rsid w:val="00305695"/>
    <w:rsid w:val="00305BCF"/>
    <w:rsid w:val="0030771E"/>
    <w:rsid w:val="00307A92"/>
    <w:rsid w:val="003100FB"/>
    <w:rsid w:val="00311519"/>
    <w:rsid w:val="003117DD"/>
    <w:rsid w:val="00311A14"/>
    <w:rsid w:val="00311B98"/>
    <w:rsid w:val="003136B8"/>
    <w:rsid w:val="00314E7E"/>
    <w:rsid w:val="00315E10"/>
    <w:rsid w:val="00317900"/>
    <w:rsid w:val="003202B7"/>
    <w:rsid w:val="00320A26"/>
    <w:rsid w:val="00320D44"/>
    <w:rsid w:val="0032244E"/>
    <w:rsid w:val="00327DCF"/>
    <w:rsid w:val="003317E2"/>
    <w:rsid w:val="00331933"/>
    <w:rsid w:val="003331A2"/>
    <w:rsid w:val="0034149B"/>
    <w:rsid w:val="003436BA"/>
    <w:rsid w:val="0034488C"/>
    <w:rsid w:val="003457F5"/>
    <w:rsid w:val="00346A49"/>
    <w:rsid w:val="00354F89"/>
    <w:rsid w:val="00356E94"/>
    <w:rsid w:val="00360477"/>
    <w:rsid w:val="00360C28"/>
    <w:rsid w:val="00361459"/>
    <w:rsid w:val="00361536"/>
    <w:rsid w:val="00362799"/>
    <w:rsid w:val="00362D8D"/>
    <w:rsid w:val="00362EA5"/>
    <w:rsid w:val="003642D0"/>
    <w:rsid w:val="003648FB"/>
    <w:rsid w:val="00365F35"/>
    <w:rsid w:val="00366E1B"/>
    <w:rsid w:val="0036719E"/>
    <w:rsid w:val="00367428"/>
    <w:rsid w:val="00371488"/>
    <w:rsid w:val="003731C2"/>
    <w:rsid w:val="0037339F"/>
    <w:rsid w:val="003739E4"/>
    <w:rsid w:val="003742BB"/>
    <w:rsid w:val="0037470E"/>
    <w:rsid w:val="00374B49"/>
    <w:rsid w:val="003756DF"/>
    <w:rsid w:val="003757DE"/>
    <w:rsid w:val="00376A01"/>
    <w:rsid w:val="0037748C"/>
    <w:rsid w:val="003808CD"/>
    <w:rsid w:val="003845CB"/>
    <w:rsid w:val="00386401"/>
    <w:rsid w:val="00390C47"/>
    <w:rsid w:val="0039157C"/>
    <w:rsid w:val="0039194A"/>
    <w:rsid w:val="003928B9"/>
    <w:rsid w:val="00393529"/>
    <w:rsid w:val="00396B4E"/>
    <w:rsid w:val="00396E31"/>
    <w:rsid w:val="003A116E"/>
    <w:rsid w:val="003A1A33"/>
    <w:rsid w:val="003A2BB2"/>
    <w:rsid w:val="003A41EF"/>
    <w:rsid w:val="003A43D7"/>
    <w:rsid w:val="003A4D15"/>
    <w:rsid w:val="003A7967"/>
    <w:rsid w:val="003B0187"/>
    <w:rsid w:val="003B0242"/>
    <w:rsid w:val="003B0C80"/>
    <w:rsid w:val="003B17BB"/>
    <w:rsid w:val="003B193E"/>
    <w:rsid w:val="003B224C"/>
    <w:rsid w:val="003B226C"/>
    <w:rsid w:val="003B23B7"/>
    <w:rsid w:val="003B25FF"/>
    <w:rsid w:val="003B362C"/>
    <w:rsid w:val="003B3C54"/>
    <w:rsid w:val="003B4052"/>
    <w:rsid w:val="003B4988"/>
    <w:rsid w:val="003B543E"/>
    <w:rsid w:val="003B5B59"/>
    <w:rsid w:val="003C082F"/>
    <w:rsid w:val="003C389B"/>
    <w:rsid w:val="003C5324"/>
    <w:rsid w:val="003C5EE7"/>
    <w:rsid w:val="003C688E"/>
    <w:rsid w:val="003C6A77"/>
    <w:rsid w:val="003C6FA7"/>
    <w:rsid w:val="003C7B97"/>
    <w:rsid w:val="003D13E7"/>
    <w:rsid w:val="003D19EA"/>
    <w:rsid w:val="003D2649"/>
    <w:rsid w:val="003D2E5A"/>
    <w:rsid w:val="003D31EE"/>
    <w:rsid w:val="003D5449"/>
    <w:rsid w:val="003D750B"/>
    <w:rsid w:val="003E0D7B"/>
    <w:rsid w:val="003E2C0F"/>
    <w:rsid w:val="003E4CE8"/>
    <w:rsid w:val="003E54CE"/>
    <w:rsid w:val="003E5E3A"/>
    <w:rsid w:val="003E6445"/>
    <w:rsid w:val="003E72A0"/>
    <w:rsid w:val="003F04CA"/>
    <w:rsid w:val="003F0E4E"/>
    <w:rsid w:val="003F1CA9"/>
    <w:rsid w:val="003F3BA0"/>
    <w:rsid w:val="003F4216"/>
    <w:rsid w:val="003F5785"/>
    <w:rsid w:val="003F5AA6"/>
    <w:rsid w:val="003F70A7"/>
    <w:rsid w:val="004012B0"/>
    <w:rsid w:val="00402303"/>
    <w:rsid w:val="00402567"/>
    <w:rsid w:val="00402785"/>
    <w:rsid w:val="00405A48"/>
    <w:rsid w:val="00406497"/>
    <w:rsid w:val="00406AA4"/>
    <w:rsid w:val="00406F31"/>
    <w:rsid w:val="004071BC"/>
    <w:rsid w:val="004075BC"/>
    <w:rsid w:val="0041139C"/>
    <w:rsid w:val="00412941"/>
    <w:rsid w:val="0041297C"/>
    <w:rsid w:val="004131A5"/>
    <w:rsid w:val="0041364C"/>
    <w:rsid w:val="00413B59"/>
    <w:rsid w:val="0041403F"/>
    <w:rsid w:val="00414BC4"/>
    <w:rsid w:val="00415AB0"/>
    <w:rsid w:val="00416961"/>
    <w:rsid w:val="00416BCC"/>
    <w:rsid w:val="00416CE6"/>
    <w:rsid w:val="004175CE"/>
    <w:rsid w:val="0041778D"/>
    <w:rsid w:val="00417913"/>
    <w:rsid w:val="004200E0"/>
    <w:rsid w:val="004211F5"/>
    <w:rsid w:val="004228A3"/>
    <w:rsid w:val="004236FF"/>
    <w:rsid w:val="00425842"/>
    <w:rsid w:val="00431392"/>
    <w:rsid w:val="0043201A"/>
    <w:rsid w:val="004320AD"/>
    <w:rsid w:val="00432EC2"/>
    <w:rsid w:val="00433C2F"/>
    <w:rsid w:val="004342BC"/>
    <w:rsid w:val="004344F5"/>
    <w:rsid w:val="0043546F"/>
    <w:rsid w:val="004357E3"/>
    <w:rsid w:val="004360BA"/>
    <w:rsid w:val="00437B59"/>
    <w:rsid w:val="00440516"/>
    <w:rsid w:val="00440BB6"/>
    <w:rsid w:val="00441E0C"/>
    <w:rsid w:val="00442F70"/>
    <w:rsid w:val="00444F9A"/>
    <w:rsid w:val="00445226"/>
    <w:rsid w:val="00445B01"/>
    <w:rsid w:val="0044657C"/>
    <w:rsid w:val="00447035"/>
    <w:rsid w:val="00451124"/>
    <w:rsid w:val="00452A2D"/>
    <w:rsid w:val="00452CAC"/>
    <w:rsid w:val="00454B5A"/>
    <w:rsid w:val="00455109"/>
    <w:rsid w:val="00455870"/>
    <w:rsid w:val="00455E50"/>
    <w:rsid w:val="0045681D"/>
    <w:rsid w:val="00461F0E"/>
    <w:rsid w:val="00462560"/>
    <w:rsid w:val="00464C8B"/>
    <w:rsid w:val="00470014"/>
    <w:rsid w:val="00473093"/>
    <w:rsid w:val="00473137"/>
    <w:rsid w:val="004735FF"/>
    <w:rsid w:val="00473837"/>
    <w:rsid w:val="00474266"/>
    <w:rsid w:val="00476D47"/>
    <w:rsid w:val="00477EBA"/>
    <w:rsid w:val="0048085C"/>
    <w:rsid w:val="00480A43"/>
    <w:rsid w:val="004810B3"/>
    <w:rsid w:val="00481138"/>
    <w:rsid w:val="0048235C"/>
    <w:rsid w:val="00483123"/>
    <w:rsid w:val="004838B6"/>
    <w:rsid w:val="00483B9E"/>
    <w:rsid w:val="004843E6"/>
    <w:rsid w:val="00484D50"/>
    <w:rsid w:val="004850B5"/>
    <w:rsid w:val="0048578D"/>
    <w:rsid w:val="00485E19"/>
    <w:rsid w:val="00486AD2"/>
    <w:rsid w:val="00494B41"/>
    <w:rsid w:val="00497A8B"/>
    <w:rsid w:val="004A04F6"/>
    <w:rsid w:val="004A127C"/>
    <w:rsid w:val="004A15AB"/>
    <w:rsid w:val="004A250F"/>
    <w:rsid w:val="004A28F9"/>
    <w:rsid w:val="004A2D9E"/>
    <w:rsid w:val="004A44A7"/>
    <w:rsid w:val="004A4B28"/>
    <w:rsid w:val="004A6A34"/>
    <w:rsid w:val="004B19D9"/>
    <w:rsid w:val="004B23B6"/>
    <w:rsid w:val="004B5ED8"/>
    <w:rsid w:val="004B6073"/>
    <w:rsid w:val="004C07FE"/>
    <w:rsid w:val="004C3AD4"/>
    <w:rsid w:val="004D00C6"/>
    <w:rsid w:val="004D06A3"/>
    <w:rsid w:val="004D1BDF"/>
    <w:rsid w:val="004D1FDA"/>
    <w:rsid w:val="004D20B4"/>
    <w:rsid w:val="004D57FD"/>
    <w:rsid w:val="004D5D93"/>
    <w:rsid w:val="004D6340"/>
    <w:rsid w:val="004D6A16"/>
    <w:rsid w:val="004D6A58"/>
    <w:rsid w:val="004D71B6"/>
    <w:rsid w:val="004D76DB"/>
    <w:rsid w:val="004D7A4E"/>
    <w:rsid w:val="004D7C8D"/>
    <w:rsid w:val="004D7D64"/>
    <w:rsid w:val="004E123C"/>
    <w:rsid w:val="004E2F41"/>
    <w:rsid w:val="004E39E1"/>
    <w:rsid w:val="004E3C80"/>
    <w:rsid w:val="004E45AE"/>
    <w:rsid w:val="004E509B"/>
    <w:rsid w:val="004E518E"/>
    <w:rsid w:val="004E54F3"/>
    <w:rsid w:val="004E79BD"/>
    <w:rsid w:val="004E7AB0"/>
    <w:rsid w:val="004F185E"/>
    <w:rsid w:val="004F2BDC"/>
    <w:rsid w:val="004F307B"/>
    <w:rsid w:val="004F339B"/>
    <w:rsid w:val="004F5214"/>
    <w:rsid w:val="005029F0"/>
    <w:rsid w:val="00502FB9"/>
    <w:rsid w:val="00503B1D"/>
    <w:rsid w:val="00504B64"/>
    <w:rsid w:val="005055E3"/>
    <w:rsid w:val="00506351"/>
    <w:rsid w:val="0050702E"/>
    <w:rsid w:val="00507B21"/>
    <w:rsid w:val="00510D1B"/>
    <w:rsid w:val="00511297"/>
    <w:rsid w:val="005113C6"/>
    <w:rsid w:val="00513ADB"/>
    <w:rsid w:val="0051519D"/>
    <w:rsid w:val="005159F9"/>
    <w:rsid w:val="00516FFC"/>
    <w:rsid w:val="0052059F"/>
    <w:rsid w:val="00524475"/>
    <w:rsid w:val="005251CF"/>
    <w:rsid w:val="005253EA"/>
    <w:rsid w:val="0052646B"/>
    <w:rsid w:val="005279A9"/>
    <w:rsid w:val="00531BE4"/>
    <w:rsid w:val="0053309A"/>
    <w:rsid w:val="00533620"/>
    <w:rsid w:val="00533C45"/>
    <w:rsid w:val="00535018"/>
    <w:rsid w:val="00535E7D"/>
    <w:rsid w:val="00536A45"/>
    <w:rsid w:val="00536C63"/>
    <w:rsid w:val="005379D6"/>
    <w:rsid w:val="005407C6"/>
    <w:rsid w:val="00541AF9"/>
    <w:rsid w:val="005424F5"/>
    <w:rsid w:val="005435CF"/>
    <w:rsid w:val="005445A9"/>
    <w:rsid w:val="005454E2"/>
    <w:rsid w:val="00546813"/>
    <w:rsid w:val="00546E4B"/>
    <w:rsid w:val="00547144"/>
    <w:rsid w:val="00547307"/>
    <w:rsid w:val="005504A7"/>
    <w:rsid w:val="0055057A"/>
    <w:rsid w:val="00551C13"/>
    <w:rsid w:val="00552660"/>
    <w:rsid w:val="00553127"/>
    <w:rsid w:val="00553622"/>
    <w:rsid w:val="00554275"/>
    <w:rsid w:val="00554B90"/>
    <w:rsid w:val="00555261"/>
    <w:rsid w:val="0055556F"/>
    <w:rsid w:val="00555BF8"/>
    <w:rsid w:val="00555CA3"/>
    <w:rsid w:val="0055690A"/>
    <w:rsid w:val="00557716"/>
    <w:rsid w:val="00557BE4"/>
    <w:rsid w:val="00557BFC"/>
    <w:rsid w:val="00560B3C"/>
    <w:rsid w:val="0056187E"/>
    <w:rsid w:val="00562F51"/>
    <w:rsid w:val="00563117"/>
    <w:rsid w:val="0056321F"/>
    <w:rsid w:val="005655BA"/>
    <w:rsid w:val="00567350"/>
    <w:rsid w:val="005710ED"/>
    <w:rsid w:val="00571360"/>
    <w:rsid w:val="00571B14"/>
    <w:rsid w:val="00573AE0"/>
    <w:rsid w:val="00575829"/>
    <w:rsid w:val="00576FE9"/>
    <w:rsid w:val="005810BF"/>
    <w:rsid w:val="005814EF"/>
    <w:rsid w:val="00582F8F"/>
    <w:rsid w:val="00583213"/>
    <w:rsid w:val="00583269"/>
    <w:rsid w:val="0058338E"/>
    <w:rsid w:val="005833C8"/>
    <w:rsid w:val="0058443F"/>
    <w:rsid w:val="00584DC3"/>
    <w:rsid w:val="00586C95"/>
    <w:rsid w:val="00587183"/>
    <w:rsid w:val="00590CE9"/>
    <w:rsid w:val="00590F1F"/>
    <w:rsid w:val="00592332"/>
    <w:rsid w:val="005926AB"/>
    <w:rsid w:val="0059281F"/>
    <w:rsid w:val="00592C5B"/>
    <w:rsid w:val="00593B59"/>
    <w:rsid w:val="00594190"/>
    <w:rsid w:val="0059439D"/>
    <w:rsid w:val="005955B6"/>
    <w:rsid w:val="0059687B"/>
    <w:rsid w:val="00596D3F"/>
    <w:rsid w:val="0059763E"/>
    <w:rsid w:val="00597CFF"/>
    <w:rsid w:val="005A058B"/>
    <w:rsid w:val="005A066D"/>
    <w:rsid w:val="005A0F9B"/>
    <w:rsid w:val="005A1565"/>
    <w:rsid w:val="005A1C59"/>
    <w:rsid w:val="005A1EC8"/>
    <w:rsid w:val="005A2272"/>
    <w:rsid w:val="005A4961"/>
    <w:rsid w:val="005A6C0D"/>
    <w:rsid w:val="005A6F83"/>
    <w:rsid w:val="005B006D"/>
    <w:rsid w:val="005B0A93"/>
    <w:rsid w:val="005B1199"/>
    <w:rsid w:val="005B1FB0"/>
    <w:rsid w:val="005B2580"/>
    <w:rsid w:val="005B28AD"/>
    <w:rsid w:val="005B382B"/>
    <w:rsid w:val="005B4BE3"/>
    <w:rsid w:val="005B50C2"/>
    <w:rsid w:val="005B5787"/>
    <w:rsid w:val="005B68E0"/>
    <w:rsid w:val="005B7615"/>
    <w:rsid w:val="005B7975"/>
    <w:rsid w:val="005C0DE4"/>
    <w:rsid w:val="005C0FEC"/>
    <w:rsid w:val="005C1165"/>
    <w:rsid w:val="005C2C62"/>
    <w:rsid w:val="005C3856"/>
    <w:rsid w:val="005C4F99"/>
    <w:rsid w:val="005C572A"/>
    <w:rsid w:val="005C6F0B"/>
    <w:rsid w:val="005C72E9"/>
    <w:rsid w:val="005C7AD4"/>
    <w:rsid w:val="005D07BF"/>
    <w:rsid w:val="005D1CBF"/>
    <w:rsid w:val="005D3FA9"/>
    <w:rsid w:val="005D4DEA"/>
    <w:rsid w:val="005E2F84"/>
    <w:rsid w:val="005E6154"/>
    <w:rsid w:val="005E674B"/>
    <w:rsid w:val="005E6960"/>
    <w:rsid w:val="005F000A"/>
    <w:rsid w:val="005F02D8"/>
    <w:rsid w:val="005F0451"/>
    <w:rsid w:val="005F2F52"/>
    <w:rsid w:val="005F3574"/>
    <w:rsid w:val="005F3ABE"/>
    <w:rsid w:val="005F40A3"/>
    <w:rsid w:val="005F40C2"/>
    <w:rsid w:val="005F6C39"/>
    <w:rsid w:val="00600761"/>
    <w:rsid w:val="00600CEE"/>
    <w:rsid w:val="00600F3D"/>
    <w:rsid w:val="00603926"/>
    <w:rsid w:val="00603BF6"/>
    <w:rsid w:val="00607BA7"/>
    <w:rsid w:val="00610534"/>
    <w:rsid w:val="00610B0A"/>
    <w:rsid w:val="006117DA"/>
    <w:rsid w:val="00613CDC"/>
    <w:rsid w:val="00613EF0"/>
    <w:rsid w:val="006210D8"/>
    <w:rsid w:val="00621F13"/>
    <w:rsid w:val="006221BA"/>
    <w:rsid w:val="0062302D"/>
    <w:rsid w:val="006247F2"/>
    <w:rsid w:val="006266AF"/>
    <w:rsid w:val="00627820"/>
    <w:rsid w:val="00627D15"/>
    <w:rsid w:val="00630186"/>
    <w:rsid w:val="00630EAC"/>
    <w:rsid w:val="00631ACC"/>
    <w:rsid w:val="00632DCC"/>
    <w:rsid w:val="00633A58"/>
    <w:rsid w:val="0063432F"/>
    <w:rsid w:val="00635BFE"/>
    <w:rsid w:val="0063609E"/>
    <w:rsid w:val="00640631"/>
    <w:rsid w:val="00643910"/>
    <w:rsid w:val="00643A99"/>
    <w:rsid w:val="00643CB0"/>
    <w:rsid w:val="006459B7"/>
    <w:rsid w:val="006469C7"/>
    <w:rsid w:val="0064703C"/>
    <w:rsid w:val="0065077B"/>
    <w:rsid w:val="0065105C"/>
    <w:rsid w:val="0065249E"/>
    <w:rsid w:val="00654B41"/>
    <w:rsid w:val="00655EA9"/>
    <w:rsid w:val="00655ED4"/>
    <w:rsid w:val="006566C3"/>
    <w:rsid w:val="00657461"/>
    <w:rsid w:val="00657EB3"/>
    <w:rsid w:val="00661717"/>
    <w:rsid w:val="00661EED"/>
    <w:rsid w:val="00662737"/>
    <w:rsid w:val="00662CD8"/>
    <w:rsid w:val="00663000"/>
    <w:rsid w:val="0066347D"/>
    <w:rsid w:val="00663A5A"/>
    <w:rsid w:val="006644D8"/>
    <w:rsid w:val="006646B7"/>
    <w:rsid w:val="0066689B"/>
    <w:rsid w:val="00670E7C"/>
    <w:rsid w:val="00671115"/>
    <w:rsid w:val="0067213A"/>
    <w:rsid w:val="00673472"/>
    <w:rsid w:val="006765B4"/>
    <w:rsid w:val="00677183"/>
    <w:rsid w:val="00680E4C"/>
    <w:rsid w:val="006821DF"/>
    <w:rsid w:val="00682B14"/>
    <w:rsid w:val="006844E3"/>
    <w:rsid w:val="00684B3B"/>
    <w:rsid w:val="006864B3"/>
    <w:rsid w:val="006901A4"/>
    <w:rsid w:val="0069138F"/>
    <w:rsid w:val="00693029"/>
    <w:rsid w:val="00694069"/>
    <w:rsid w:val="006942DB"/>
    <w:rsid w:val="00694868"/>
    <w:rsid w:val="00695C16"/>
    <w:rsid w:val="00695F04"/>
    <w:rsid w:val="006973AF"/>
    <w:rsid w:val="006A1498"/>
    <w:rsid w:val="006A1B59"/>
    <w:rsid w:val="006A234C"/>
    <w:rsid w:val="006A2E63"/>
    <w:rsid w:val="006A4081"/>
    <w:rsid w:val="006A522B"/>
    <w:rsid w:val="006A5C6E"/>
    <w:rsid w:val="006A6338"/>
    <w:rsid w:val="006A7EC1"/>
    <w:rsid w:val="006B1A15"/>
    <w:rsid w:val="006B2804"/>
    <w:rsid w:val="006B529D"/>
    <w:rsid w:val="006B5DAB"/>
    <w:rsid w:val="006B6333"/>
    <w:rsid w:val="006B699C"/>
    <w:rsid w:val="006B767A"/>
    <w:rsid w:val="006B7D81"/>
    <w:rsid w:val="006C0204"/>
    <w:rsid w:val="006C2886"/>
    <w:rsid w:val="006C52A6"/>
    <w:rsid w:val="006C52BD"/>
    <w:rsid w:val="006C5382"/>
    <w:rsid w:val="006C5C08"/>
    <w:rsid w:val="006C5FAF"/>
    <w:rsid w:val="006C78C9"/>
    <w:rsid w:val="006D032D"/>
    <w:rsid w:val="006D084E"/>
    <w:rsid w:val="006D1E52"/>
    <w:rsid w:val="006D2120"/>
    <w:rsid w:val="006D3E48"/>
    <w:rsid w:val="006D480B"/>
    <w:rsid w:val="006D4DA2"/>
    <w:rsid w:val="006D59B7"/>
    <w:rsid w:val="006D75A9"/>
    <w:rsid w:val="006E0001"/>
    <w:rsid w:val="006E0C7E"/>
    <w:rsid w:val="006E0CFF"/>
    <w:rsid w:val="006E1539"/>
    <w:rsid w:val="006E1CFE"/>
    <w:rsid w:val="006E2BD6"/>
    <w:rsid w:val="006E4F33"/>
    <w:rsid w:val="006E54DE"/>
    <w:rsid w:val="006E6615"/>
    <w:rsid w:val="006E735A"/>
    <w:rsid w:val="006F0274"/>
    <w:rsid w:val="006F1B91"/>
    <w:rsid w:val="006F4E78"/>
    <w:rsid w:val="006F6EA4"/>
    <w:rsid w:val="007003F6"/>
    <w:rsid w:val="00700EAE"/>
    <w:rsid w:val="007016EB"/>
    <w:rsid w:val="00701C15"/>
    <w:rsid w:val="00702957"/>
    <w:rsid w:val="007037B7"/>
    <w:rsid w:val="00703832"/>
    <w:rsid w:val="00704CD7"/>
    <w:rsid w:val="007060A6"/>
    <w:rsid w:val="0071152C"/>
    <w:rsid w:val="00711E7F"/>
    <w:rsid w:val="0071211F"/>
    <w:rsid w:val="007150E4"/>
    <w:rsid w:val="00715D29"/>
    <w:rsid w:val="00716EC9"/>
    <w:rsid w:val="007201D2"/>
    <w:rsid w:val="007216BC"/>
    <w:rsid w:val="00723A69"/>
    <w:rsid w:val="00725DD8"/>
    <w:rsid w:val="00726A12"/>
    <w:rsid w:val="0073195E"/>
    <w:rsid w:val="007329FD"/>
    <w:rsid w:val="00732B4D"/>
    <w:rsid w:val="00732DDB"/>
    <w:rsid w:val="00733687"/>
    <w:rsid w:val="00733A6C"/>
    <w:rsid w:val="00734BE8"/>
    <w:rsid w:val="007353A8"/>
    <w:rsid w:val="007407F2"/>
    <w:rsid w:val="0074245F"/>
    <w:rsid w:val="00742F77"/>
    <w:rsid w:val="00743A3E"/>
    <w:rsid w:val="00745ECA"/>
    <w:rsid w:val="0074701C"/>
    <w:rsid w:val="00750F30"/>
    <w:rsid w:val="007523E4"/>
    <w:rsid w:val="007539B3"/>
    <w:rsid w:val="00753CB0"/>
    <w:rsid w:val="00754C8A"/>
    <w:rsid w:val="00754F14"/>
    <w:rsid w:val="00755B98"/>
    <w:rsid w:val="007560AA"/>
    <w:rsid w:val="0075713F"/>
    <w:rsid w:val="007575B9"/>
    <w:rsid w:val="00760667"/>
    <w:rsid w:val="00761097"/>
    <w:rsid w:val="00761226"/>
    <w:rsid w:val="007618A9"/>
    <w:rsid w:val="00762156"/>
    <w:rsid w:val="00762355"/>
    <w:rsid w:val="00762AA3"/>
    <w:rsid w:val="00763529"/>
    <w:rsid w:val="00763A17"/>
    <w:rsid w:val="00764792"/>
    <w:rsid w:val="0076497B"/>
    <w:rsid w:val="0076546B"/>
    <w:rsid w:val="00765986"/>
    <w:rsid w:val="0076659A"/>
    <w:rsid w:val="00766A08"/>
    <w:rsid w:val="0076761C"/>
    <w:rsid w:val="00767AAB"/>
    <w:rsid w:val="007710AC"/>
    <w:rsid w:val="00771465"/>
    <w:rsid w:val="007738B6"/>
    <w:rsid w:val="00773B1E"/>
    <w:rsid w:val="007754D4"/>
    <w:rsid w:val="00775A60"/>
    <w:rsid w:val="00775D87"/>
    <w:rsid w:val="00783340"/>
    <w:rsid w:val="00783C4B"/>
    <w:rsid w:val="00783DB4"/>
    <w:rsid w:val="00784394"/>
    <w:rsid w:val="007863A0"/>
    <w:rsid w:val="00786ECA"/>
    <w:rsid w:val="00787B49"/>
    <w:rsid w:val="007906C7"/>
    <w:rsid w:val="007911F6"/>
    <w:rsid w:val="00791607"/>
    <w:rsid w:val="007938C6"/>
    <w:rsid w:val="00793FA0"/>
    <w:rsid w:val="007946A6"/>
    <w:rsid w:val="00796168"/>
    <w:rsid w:val="00796205"/>
    <w:rsid w:val="00796419"/>
    <w:rsid w:val="00796BE5"/>
    <w:rsid w:val="00796CC9"/>
    <w:rsid w:val="0079701E"/>
    <w:rsid w:val="007973BF"/>
    <w:rsid w:val="00797D69"/>
    <w:rsid w:val="007A25E9"/>
    <w:rsid w:val="007A3BF9"/>
    <w:rsid w:val="007A470A"/>
    <w:rsid w:val="007A7049"/>
    <w:rsid w:val="007A7223"/>
    <w:rsid w:val="007A7323"/>
    <w:rsid w:val="007B19CF"/>
    <w:rsid w:val="007B1F19"/>
    <w:rsid w:val="007B362F"/>
    <w:rsid w:val="007B3941"/>
    <w:rsid w:val="007B74C7"/>
    <w:rsid w:val="007B7937"/>
    <w:rsid w:val="007B7A88"/>
    <w:rsid w:val="007C1C65"/>
    <w:rsid w:val="007C1E50"/>
    <w:rsid w:val="007C2731"/>
    <w:rsid w:val="007C3B3B"/>
    <w:rsid w:val="007C4253"/>
    <w:rsid w:val="007C4AD2"/>
    <w:rsid w:val="007C6CDC"/>
    <w:rsid w:val="007C7EBA"/>
    <w:rsid w:val="007D091D"/>
    <w:rsid w:val="007D0CAF"/>
    <w:rsid w:val="007D0E92"/>
    <w:rsid w:val="007D10D6"/>
    <w:rsid w:val="007D44BD"/>
    <w:rsid w:val="007D46D0"/>
    <w:rsid w:val="007D5BAF"/>
    <w:rsid w:val="007D5E0A"/>
    <w:rsid w:val="007D71FD"/>
    <w:rsid w:val="007D740A"/>
    <w:rsid w:val="007D767B"/>
    <w:rsid w:val="007D7F7A"/>
    <w:rsid w:val="007E0A28"/>
    <w:rsid w:val="007E12C9"/>
    <w:rsid w:val="007E29C5"/>
    <w:rsid w:val="007E2E9B"/>
    <w:rsid w:val="007E3164"/>
    <w:rsid w:val="007E3305"/>
    <w:rsid w:val="007E3886"/>
    <w:rsid w:val="007E4949"/>
    <w:rsid w:val="007E71ED"/>
    <w:rsid w:val="007E7FDE"/>
    <w:rsid w:val="007F0067"/>
    <w:rsid w:val="007F1F86"/>
    <w:rsid w:val="007F3FD2"/>
    <w:rsid w:val="007F4288"/>
    <w:rsid w:val="007F544F"/>
    <w:rsid w:val="007F5BC1"/>
    <w:rsid w:val="007F6C74"/>
    <w:rsid w:val="007F7681"/>
    <w:rsid w:val="007F7FCF"/>
    <w:rsid w:val="00800D1C"/>
    <w:rsid w:val="008019BD"/>
    <w:rsid w:val="008028AC"/>
    <w:rsid w:val="0080292F"/>
    <w:rsid w:val="00804F33"/>
    <w:rsid w:val="008057F2"/>
    <w:rsid w:val="00805940"/>
    <w:rsid w:val="00807074"/>
    <w:rsid w:val="00811B2E"/>
    <w:rsid w:val="00812660"/>
    <w:rsid w:val="00815DD2"/>
    <w:rsid w:val="00816E13"/>
    <w:rsid w:val="0081786B"/>
    <w:rsid w:val="0082086F"/>
    <w:rsid w:val="00821391"/>
    <w:rsid w:val="00821C92"/>
    <w:rsid w:val="0082219D"/>
    <w:rsid w:val="0082284B"/>
    <w:rsid w:val="00822CE7"/>
    <w:rsid w:val="00824E01"/>
    <w:rsid w:val="00824F5B"/>
    <w:rsid w:val="00825ACB"/>
    <w:rsid w:val="00826380"/>
    <w:rsid w:val="008268C0"/>
    <w:rsid w:val="00827E77"/>
    <w:rsid w:val="0083000D"/>
    <w:rsid w:val="00832CAA"/>
    <w:rsid w:val="00835E01"/>
    <w:rsid w:val="00841E81"/>
    <w:rsid w:val="00843EDE"/>
    <w:rsid w:val="00844753"/>
    <w:rsid w:val="008451B9"/>
    <w:rsid w:val="00845B5E"/>
    <w:rsid w:val="00850C15"/>
    <w:rsid w:val="00851644"/>
    <w:rsid w:val="00851E56"/>
    <w:rsid w:val="008537B3"/>
    <w:rsid w:val="0085391A"/>
    <w:rsid w:val="00853A41"/>
    <w:rsid w:val="00854309"/>
    <w:rsid w:val="00854F6E"/>
    <w:rsid w:val="00855502"/>
    <w:rsid w:val="008559D3"/>
    <w:rsid w:val="00855F76"/>
    <w:rsid w:val="0085702A"/>
    <w:rsid w:val="00857987"/>
    <w:rsid w:val="00861E00"/>
    <w:rsid w:val="008649E4"/>
    <w:rsid w:val="00865506"/>
    <w:rsid w:val="0086574E"/>
    <w:rsid w:val="00865CC5"/>
    <w:rsid w:val="0086617F"/>
    <w:rsid w:val="00866897"/>
    <w:rsid w:val="00870466"/>
    <w:rsid w:val="008730E6"/>
    <w:rsid w:val="00873989"/>
    <w:rsid w:val="00874470"/>
    <w:rsid w:val="008745B6"/>
    <w:rsid w:val="0087503E"/>
    <w:rsid w:val="00875807"/>
    <w:rsid w:val="008758A1"/>
    <w:rsid w:val="00875B86"/>
    <w:rsid w:val="00875CAF"/>
    <w:rsid w:val="008761C0"/>
    <w:rsid w:val="008806F0"/>
    <w:rsid w:val="00880B76"/>
    <w:rsid w:val="00884782"/>
    <w:rsid w:val="008848CE"/>
    <w:rsid w:val="00884AB1"/>
    <w:rsid w:val="00885F50"/>
    <w:rsid w:val="0088712D"/>
    <w:rsid w:val="008876E4"/>
    <w:rsid w:val="0089240E"/>
    <w:rsid w:val="00893DB9"/>
    <w:rsid w:val="00895054"/>
    <w:rsid w:val="0089534F"/>
    <w:rsid w:val="008979C1"/>
    <w:rsid w:val="008A0B83"/>
    <w:rsid w:val="008A1B8D"/>
    <w:rsid w:val="008A22FC"/>
    <w:rsid w:val="008A51BF"/>
    <w:rsid w:val="008A5DE6"/>
    <w:rsid w:val="008A6009"/>
    <w:rsid w:val="008A63B5"/>
    <w:rsid w:val="008A6C7F"/>
    <w:rsid w:val="008B0BF1"/>
    <w:rsid w:val="008B0C0C"/>
    <w:rsid w:val="008B1279"/>
    <w:rsid w:val="008B128C"/>
    <w:rsid w:val="008B2D2E"/>
    <w:rsid w:val="008B3320"/>
    <w:rsid w:val="008B4FB8"/>
    <w:rsid w:val="008B50F1"/>
    <w:rsid w:val="008B5917"/>
    <w:rsid w:val="008B6BEE"/>
    <w:rsid w:val="008B6C3B"/>
    <w:rsid w:val="008C2813"/>
    <w:rsid w:val="008C4411"/>
    <w:rsid w:val="008C5474"/>
    <w:rsid w:val="008C6039"/>
    <w:rsid w:val="008C687A"/>
    <w:rsid w:val="008C6D2B"/>
    <w:rsid w:val="008C7F99"/>
    <w:rsid w:val="008D1546"/>
    <w:rsid w:val="008D4775"/>
    <w:rsid w:val="008D5A8E"/>
    <w:rsid w:val="008D6ECB"/>
    <w:rsid w:val="008D73E2"/>
    <w:rsid w:val="008D7447"/>
    <w:rsid w:val="008D761F"/>
    <w:rsid w:val="008E051D"/>
    <w:rsid w:val="008E1164"/>
    <w:rsid w:val="008E22D7"/>
    <w:rsid w:val="008E3CE0"/>
    <w:rsid w:val="008E5EF7"/>
    <w:rsid w:val="008E614E"/>
    <w:rsid w:val="008E61BF"/>
    <w:rsid w:val="008F4220"/>
    <w:rsid w:val="008F4A4F"/>
    <w:rsid w:val="008F4FF5"/>
    <w:rsid w:val="00900748"/>
    <w:rsid w:val="00901C66"/>
    <w:rsid w:val="00902887"/>
    <w:rsid w:val="00903163"/>
    <w:rsid w:val="0090450C"/>
    <w:rsid w:val="00904848"/>
    <w:rsid w:val="009052F8"/>
    <w:rsid w:val="00905363"/>
    <w:rsid w:val="00905DCD"/>
    <w:rsid w:val="00905E60"/>
    <w:rsid w:val="00906173"/>
    <w:rsid w:val="00906CE5"/>
    <w:rsid w:val="00906FF2"/>
    <w:rsid w:val="00907B9B"/>
    <w:rsid w:val="00910006"/>
    <w:rsid w:val="0091036D"/>
    <w:rsid w:val="009134AD"/>
    <w:rsid w:val="009151E2"/>
    <w:rsid w:val="0091778B"/>
    <w:rsid w:val="00917ABD"/>
    <w:rsid w:val="00917D33"/>
    <w:rsid w:val="00922217"/>
    <w:rsid w:val="00923447"/>
    <w:rsid w:val="00924215"/>
    <w:rsid w:val="0092447C"/>
    <w:rsid w:val="00924498"/>
    <w:rsid w:val="009245E3"/>
    <w:rsid w:val="00926B9D"/>
    <w:rsid w:val="009278B2"/>
    <w:rsid w:val="00930187"/>
    <w:rsid w:val="00930637"/>
    <w:rsid w:val="00931766"/>
    <w:rsid w:val="0093201D"/>
    <w:rsid w:val="00933661"/>
    <w:rsid w:val="00934397"/>
    <w:rsid w:val="00935458"/>
    <w:rsid w:val="00935800"/>
    <w:rsid w:val="00937F0B"/>
    <w:rsid w:val="00940034"/>
    <w:rsid w:val="00942D81"/>
    <w:rsid w:val="00942DAA"/>
    <w:rsid w:val="009442A0"/>
    <w:rsid w:val="009473C5"/>
    <w:rsid w:val="00947A19"/>
    <w:rsid w:val="00950AEB"/>
    <w:rsid w:val="009519B1"/>
    <w:rsid w:val="009557F7"/>
    <w:rsid w:val="00956C55"/>
    <w:rsid w:val="00956CAA"/>
    <w:rsid w:val="00960CC2"/>
    <w:rsid w:val="00962670"/>
    <w:rsid w:val="00966143"/>
    <w:rsid w:val="00966540"/>
    <w:rsid w:val="00967230"/>
    <w:rsid w:val="00973335"/>
    <w:rsid w:val="00973676"/>
    <w:rsid w:val="00975AEA"/>
    <w:rsid w:val="009761D0"/>
    <w:rsid w:val="0097788F"/>
    <w:rsid w:val="00977D31"/>
    <w:rsid w:val="009817DA"/>
    <w:rsid w:val="009828E5"/>
    <w:rsid w:val="009828FA"/>
    <w:rsid w:val="009837ED"/>
    <w:rsid w:val="00983AEF"/>
    <w:rsid w:val="0098434B"/>
    <w:rsid w:val="00985125"/>
    <w:rsid w:val="0098607A"/>
    <w:rsid w:val="0098752A"/>
    <w:rsid w:val="009900A8"/>
    <w:rsid w:val="0099012F"/>
    <w:rsid w:val="00990CC4"/>
    <w:rsid w:val="00991404"/>
    <w:rsid w:val="00991832"/>
    <w:rsid w:val="00991BAA"/>
    <w:rsid w:val="00992195"/>
    <w:rsid w:val="0099402B"/>
    <w:rsid w:val="0099411C"/>
    <w:rsid w:val="00995D97"/>
    <w:rsid w:val="00996520"/>
    <w:rsid w:val="009A1601"/>
    <w:rsid w:val="009A3F00"/>
    <w:rsid w:val="009A4A96"/>
    <w:rsid w:val="009A69DB"/>
    <w:rsid w:val="009A76A8"/>
    <w:rsid w:val="009B094D"/>
    <w:rsid w:val="009B11C9"/>
    <w:rsid w:val="009B1511"/>
    <w:rsid w:val="009B3C4C"/>
    <w:rsid w:val="009B3D16"/>
    <w:rsid w:val="009B649B"/>
    <w:rsid w:val="009C4273"/>
    <w:rsid w:val="009C658B"/>
    <w:rsid w:val="009C6667"/>
    <w:rsid w:val="009C6D2D"/>
    <w:rsid w:val="009D0E28"/>
    <w:rsid w:val="009D12C8"/>
    <w:rsid w:val="009D13CE"/>
    <w:rsid w:val="009D1A8C"/>
    <w:rsid w:val="009D2568"/>
    <w:rsid w:val="009D2E35"/>
    <w:rsid w:val="009D3C1B"/>
    <w:rsid w:val="009D43A7"/>
    <w:rsid w:val="009D50DB"/>
    <w:rsid w:val="009D542D"/>
    <w:rsid w:val="009D6A3C"/>
    <w:rsid w:val="009D70DF"/>
    <w:rsid w:val="009D7666"/>
    <w:rsid w:val="009E0A96"/>
    <w:rsid w:val="009E379E"/>
    <w:rsid w:val="009E48C1"/>
    <w:rsid w:val="009E4ACC"/>
    <w:rsid w:val="009E4E53"/>
    <w:rsid w:val="009E645E"/>
    <w:rsid w:val="009E647E"/>
    <w:rsid w:val="009E6ABB"/>
    <w:rsid w:val="009F0352"/>
    <w:rsid w:val="009F19DD"/>
    <w:rsid w:val="009F2288"/>
    <w:rsid w:val="009F23FD"/>
    <w:rsid w:val="009F2634"/>
    <w:rsid w:val="009F30DD"/>
    <w:rsid w:val="009F41A1"/>
    <w:rsid w:val="009F437B"/>
    <w:rsid w:val="009F53B0"/>
    <w:rsid w:val="009F5914"/>
    <w:rsid w:val="009F6611"/>
    <w:rsid w:val="00A0119D"/>
    <w:rsid w:val="00A01D41"/>
    <w:rsid w:val="00A03029"/>
    <w:rsid w:val="00A03520"/>
    <w:rsid w:val="00A04117"/>
    <w:rsid w:val="00A05A64"/>
    <w:rsid w:val="00A075FC"/>
    <w:rsid w:val="00A109A4"/>
    <w:rsid w:val="00A10A2F"/>
    <w:rsid w:val="00A11680"/>
    <w:rsid w:val="00A11EFB"/>
    <w:rsid w:val="00A13D7D"/>
    <w:rsid w:val="00A15264"/>
    <w:rsid w:val="00A15B5F"/>
    <w:rsid w:val="00A1644E"/>
    <w:rsid w:val="00A16620"/>
    <w:rsid w:val="00A16D0A"/>
    <w:rsid w:val="00A174C5"/>
    <w:rsid w:val="00A17DE3"/>
    <w:rsid w:val="00A21BD3"/>
    <w:rsid w:val="00A248AB"/>
    <w:rsid w:val="00A256C8"/>
    <w:rsid w:val="00A25737"/>
    <w:rsid w:val="00A25796"/>
    <w:rsid w:val="00A25EB0"/>
    <w:rsid w:val="00A26F1F"/>
    <w:rsid w:val="00A2707A"/>
    <w:rsid w:val="00A310D1"/>
    <w:rsid w:val="00A319ED"/>
    <w:rsid w:val="00A33A0C"/>
    <w:rsid w:val="00A35FF2"/>
    <w:rsid w:val="00A36878"/>
    <w:rsid w:val="00A36C87"/>
    <w:rsid w:val="00A43332"/>
    <w:rsid w:val="00A44F36"/>
    <w:rsid w:val="00A4571F"/>
    <w:rsid w:val="00A45AAF"/>
    <w:rsid w:val="00A4608B"/>
    <w:rsid w:val="00A46EDE"/>
    <w:rsid w:val="00A47EE4"/>
    <w:rsid w:val="00A51F3E"/>
    <w:rsid w:val="00A523B7"/>
    <w:rsid w:val="00A524FD"/>
    <w:rsid w:val="00A52B17"/>
    <w:rsid w:val="00A54127"/>
    <w:rsid w:val="00A54130"/>
    <w:rsid w:val="00A544C6"/>
    <w:rsid w:val="00A54C4E"/>
    <w:rsid w:val="00A54CF6"/>
    <w:rsid w:val="00A55FF9"/>
    <w:rsid w:val="00A57879"/>
    <w:rsid w:val="00A60C76"/>
    <w:rsid w:val="00A61D1A"/>
    <w:rsid w:val="00A6209E"/>
    <w:rsid w:val="00A62AA3"/>
    <w:rsid w:val="00A6547E"/>
    <w:rsid w:val="00A669F0"/>
    <w:rsid w:val="00A67442"/>
    <w:rsid w:val="00A705D3"/>
    <w:rsid w:val="00A73781"/>
    <w:rsid w:val="00A741EF"/>
    <w:rsid w:val="00A75428"/>
    <w:rsid w:val="00A75844"/>
    <w:rsid w:val="00A763C2"/>
    <w:rsid w:val="00A76746"/>
    <w:rsid w:val="00A77BDE"/>
    <w:rsid w:val="00A82F5F"/>
    <w:rsid w:val="00A833F1"/>
    <w:rsid w:val="00A84BF1"/>
    <w:rsid w:val="00A84C53"/>
    <w:rsid w:val="00A85182"/>
    <w:rsid w:val="00A85839"/>
    <w:rsid w:val="00A868E9"/>
    <w:rsid w:val="00A911D4"/>
    <w:rsid w:val="00A917C9"/>
    <w:rsid w:val="00A92291"/>
    <w:rsid w:val="00A95165"/>
    <w:rsid w:val="00A95374"/>
    <w:rsid w:val="00A95A36"/>
    <w:rsid w:val="00A97813"/>
    <w:rsid w:val="00A97965"/>
    <w:rsid w:val="00A97C2B"/>
    <w:rsid w:val="00AA02C9"/>
    <w:rsid w:val="00AA2C40"/>
    <w:rsid w:val="00AA4393"/>
    <w:rsid w:val="00AA4AE2"/>
    <w:rsid w:val="00AA566E"/>
    <w:rsid w:val="00AA629F"/>
    <w:rsid w:val="00AA70B2"/>
    <w:rsid w:val="00AB3EE6"/>
    <w:rsid w:val="00AB5D4B"/>
    <w:rsid w:val="00AB6D9F"/>
    <w:rsid w:val="00AB71F0"/>
    <w:rsid w:val="00AC0FA5"/>
    <w:rsid w:val="00AC17CE"/>
    <w:rsid w:val="00AC5375"/>
    <w:rsid w:val="00AC75AE"/>
    <w:rsid w:val="00AC77A2"/>
    <w:rsid w:val="00AD0EB1"/>
    <w:rsid w:val="00AD2E3F"/>
    <w:rsid w:val="00AD4749"/>
    <w:rsid w:val="00AD4EDA"/>
    <w:rsid w:val="00AD5989"/>
    <w:rsid w:val="00AD5A9A"/>
    <w:rsid w:val="00AE1998"/>
    <w:rsid w:val="00AE1F0F"/>
    <w:rsid w:val="00AE38B4"/>
    <w:rsid w:val="00AE3D83"/>
    <w:rsid w:val="00AE4F11"/>
    <w:rsid w:val="00AE52D1"/>
    <w:rsid w:val="00AE7BED"/>
    <w:rsid w:val="00AF1CF2"/>
    <w:rsid w:val="00AF1E02"/>
    <w:rsid w:val="00AF23FA"/>
    <w:rsid w:val="00AF4F3A"/>
    <w:rsid w:val="00AF51DC"/>
    <w:rsid w:val="00AF56CA"/>
    <w:rsid w:val="00AF5FCA"/>
    <w:rsid w:val="00AF621D"/>
    <w:rsid w:val="00AF662C"/>
    <w:rsid w:val="00AF735D"/>
    <w:rsid w:val="00AF73A4"/>
    <w:rsid w:val="00AF746E"/>
    <w:rsid w:val="00AF76AB"/>
    <w:rsid w:val="00AF7994"/>
    <w:rsid w:val="00B01AB1"/>
    <w:rsid w:val="00B03D27"/>
    <w:rsid w:val="00B04780"/>
    <w:rsid w:val="00B049B7"/>
    <w:rsid w:val="00B04FA2"/>
    <w:rsid w:val="00B0655B"/>
    <w:rsid w:val="00B06D8C"/>
    <w:rsid w:val="00B0789F"/>
    <w:rsid w:val="00B10109"/>
    <w:rsid w:val="00B10633"/>
    <w:rsid w:val="00B13319"/>
    <w:rsid w:val="00B13BEB"/>
    <w:rsid w:val="00B13D6D"/>
    <w:rsid w:val="00B13EA3"/>
    <w:rsid w:val="00B13F1D"/>
    <w:rsid w:val="00B13F4D"/>
    <w:rsid w:val="00B16536"/>
    <w:rsid w:val="00B16A44"/>
    <w:rsid w:val="00B16CF7"/>
    <w:rsid w:val="00B1799F"/>
    <w:rsid w:val="00B20FEC"/>
    <w:rsid w:val="00B232C1"/>
    <w:rsid w:val="00B2355F"/>
    <w:rsid w:val="00B24610"/>
    <w:rsid w:val="00B25759"/>
    <w:rsid w:val="00B260B0"/>
    <w:rsid w:val="00B26549"/>
    <w:rsid w:val="00B26D79"/>
    <w:rsid w:val="00B273C6"/>
    <w:rsid w:val="00B30E14"/>
    <w:rsid w:val="00B30EB6"/>
    <w:rsid w:val="00B31197"/>
    <w:rsid w:val="00B35116"/>
    <w:rsid w:val="00B352CB"/>
    <w:rsid w:val="00B35550"/>
    <w:rsid w:val="00B36017"/>
    <w:rsid w:val="00B361E7"/>
    <w:rsid w:val="00B370AA"/>
    <w:rsid w:val="00B4086D"/>
    <w:rsid w:val="00B40885"/>
    <w:rsid w:val="00B417BC"/>
    <w:rsid w:val="00B42717"/>
    <w:rsid w:val="00B42C75"/>
    <w:rsid w:val="00B43571"/>
    <w:rsid w:val="00B44D92"/>
    <w:rsid w:val="00B451C7"/>
    <w:rsid w:val="00B45847"/>
    <w:rsid w:val="00B45B15"/>
    <w:rsid w:val="00B4697D"/>
    <w:rsid w:val="00B475DD"/>
    <w:rsid w:val="00B51A34"/>
    <w:rsid w:val="00B53392"/>
    <w:rsid w:val="00B54D22"/>
    <w:rsid w:val="00B5523D"/>
    <w:rsid w:val="00B55831"/>
    <w:rsid w:val="00B56B65"/>
    <w:rsid w:val="00B5723C"/>
    <w:rsid w:val="00B6022D"/>
    <w:rsid w:val="00B60933"/>
    <w:rsid w:val="00B60ECE"/>
    <w:rsid w:val="00B6317E"/>
    <w:rsid w:val="00B6414A"/>
    <w:rsid w:val="00B64F09"/>
    <w:rsid w:val="00B65B0F"/>
    <w:rsid w:val="00B65D0E"/>
    <w:rsid w:val="00B65EA9"/>
    <w:rsid w:val="00B66110"/>
    <w:rsid w:val="00B67F87"/>
    <w:rsid w:val="00B70F85"/>
    <w:rsid w:val="00B716EC"/>
    <w:rsid w:val="00B720E9"/>
    <w:rsid w:val="00B73DF5"/>
    <w:rsid w:val="00B74E57"/>
    <w:rsid w:val="00B75097"/>
    <w:rsid w:val="00B75581"/>
    <w:rsid w:val="00B75BA1"/>
    <w:rsid w:val="00B76DDA"/>
    <w:rsid w:val="00B80C7B"/>
    <w:rsid w:val="00B81E27"/>
    <w:rsid w:val="00B84E2E"/>
    <w:rsid w:val="00B85D84"/>
    <w:rsid w:val="00B862D8"/>
    <w:rsid w:val="00B8697A"/>
    <w:rsid w:val="00B87E51"/>
    <w:rsid w:val="00B91638"/>
    <w:rsid w:val="00B92980"/>
    <w:rsid w:val="00B92DD6"/>
    <w:rsid w:val="00B94D7D"/>
    <w:rsid w:val="00B967E7"/>
    <w:rsid w:val="00B96BA6"/>
    <w:rsid w:val="00B96D58"/>
    <w:rsid w:val="00B974C6"/>
    <w:rsid w:val="00B97FC7"/>
    <w:rsid w:val="00BA079C"/>
    <w:rsid w:val="00BA38A5"/>
    <w:rsid w:val="00BA3CAE"/>
    <w:rsid w:val="00BA3FE9"/>
    <w:rsid w:val="00BA4A0D"/>
    <w:rsid w:val="00BA4AA1"/>
    <w:rsid w:val="00BA539A"/>
    <w:rsid w:val="00BA5D47"/>
    <w:rsid w:val="00BB077A"/>
    <w:rsid w:val="00BB26C2"/>
    <w:rsid w:val="00BB278D"/>
    <w:rsid w:val="00BB4244"/>
    <w:rsid w:val="00BB4B11"/>
    <w:rsid w:val="00BB4D4D"/>
    <w:rsid w:val="00BB7DF7"/>
    <w:rsid w:val="00BC2BE3"/>
    <w:rsid w:val="00BC339E"/>
    <w:rsid w:val="00BC3468"/>
    <w:rsid w:val="00BC3E19"/>
    <w:rsid w:val="00BC502F"/>
    <w:rsid w:val="00BC527D"/>
    <w:rsid w:val="00BD0D92"/>
    <w:rsid w:val="00BD3A26"/>
    <w:rsid w:val="00BD4D16"/>
    <w:rsid w:val="00BD63C0"/>
    <w:rsid w:val="00BE0618"/>
    <w:rsid w:val="00BE1905"/>
    <w:rsid w:val="00BE24B4"/>
    <w:rsid w:val="00BE2E8D"/>
    <w:rsid w:val="00BE358C"/>
    <w:rsid w:val="00BE5A17"/>
    <w:rsid w:val="00BE6798"/>
    <w:rsid w:val="00BE7CA2"/>
    <w:rsid w:val="00BF072A"/>
    <w:rsid w:val="00BF0D37"/>
    <w:rsid w:val="00BF17CF"/>
    <w:rsid w:val="00BF19A7"/>
    <w:rsid w:val="00BF260C"/>
    <w:rsid w:val="00BF2783"/>
    <w:rsid w:val="00BF357A"/>
    <w:rsid w:val="00BF4067"/>
    <w:rsid w:val="00BF4281"/>
    <w:rsid w:val="00BF4777"/>
    <w:rsid w:val="00BF50F2"/>
    <w:rsid w:val="00BF5560"/>
    <w:rsid w:val="00BF59C7"/>
    <w:rsid w:val="00C000D6"/>
    <w:rsid w:val="00C01055"/>
    <w:rsid w:val="00C01675"/>
    <w:rsid w:val="00C03CC0"/>
    <w:rsid w:val="00C0446A"/>
    <w:rsid w:val="00C06146"/>
    <w:rsid w:val="00C06298"/>
    <w:rsid w:val="00C066CE"/>
    <w:rsid w:val="00C07167"/>
    <w:rsid w:val="00C07495"/>
    <w:rsid w:val="00C1686D"/>
    <w:rsid w:val="00C16F94"/>
    <w:rsid w:val="00C1722E"/>
    <w:rsid w:val="00C17355"/>
    <w:rsid w:val="00C17836"/>
    <w:rsid w:val="00C20983"/>
    <w:rsid w:val="00C209D7"/>
    <w:rsid w:val="00C22893"/>
    <w:rsid w:val="00C22C54"/>
    <w:rsid w:val="00C23095"/>
    <w:rsid w:val="00C24A15"/>
    <w:rsid w:val="00C250C2"/>
    <w:rsid w:val="00C252F6"/>
    <w:rsid w:val="00C255A5"/>
    <w:rsid w:val="00C25679"/>
    <w:rsid w:val="00C2573B"/>
    <w:rsid w:val="00C262BB"/>
    <w:rsid w:val="00C26874"/>
    <w:rsid w:val="00C26EEC"/>
    <w:rsid w:val="00C274E4"/>
    <w:rsid w:val="00C30F1C"/>
    <w:rsid w:val="00C31BA7"/>
    <w:rsid w:val="00C324DC"/>
    <w:rsid w:val="00C36BAA"/>
    <w:rsid w:val="00C36CE9"/>
    <w:rsid w:val="00C3701B"/>
    <w:rsid w:val="00C40F33"/>
    <w:rsid w:val="00C418DE"/>
    <w:rsid w:val="00C427F2"/>
    <w:rsid w:val="00C42E34"/>
    <w:rsid w:val="00C45E18"/>
    <w:rsid w:val="00C46C95"/>
    <w:rsid w:val="00C46CEF"/>
    <w:rsid w:val="00C46F1C"/>
    <w:rsid w:val="00C4787A"/>
    <w:rsid w:val="00C50068"/>
    <w:rsid w:val="00C503C2"/>
    <w:rsid w:val="00C51011"/>
    <w:rsid w:val="00C51013"/>
    <w:rsid w:val="00C5101A"/>
    <w:rsid w:val="00C51D1A"/>
    <w:rsid w:val="00C52DA0"/>
    <w:rsid w:val="00C539A1"/>
    <w:rsid w:val="00C54992"/>
    <w:rsid w:val="00C559B4"/>
    <w:rsid w:val="00C56681"/>
    <w:rsid w:val="00C56D90"/>
    <w:rsid w:val="00C57611"/>
    <w:rsid w:val="00C6215B"/>
    <w:rsid w:val="00C64A37"/>
    <w:rsid w:val="00C65609"/>
    <w:rsid w:val="00C66CB8"/>
    <w:rsid w:val="00C678BC"/>
    <w:rsid w:val="00C67FCC"/>
    <w:rsid w:val="00C70AF0"/>
    <w:rsid w:val="00C70BB9"/>
    <w:rsid w:val="00C71395"/>
    <w:rsid w:val="00C724F5"/>
    <w:rsid w:val="00C74C4F"/>
    <w:rsid w:val="00C75FB7"/>
    <w:rsid w:val="00C7617B"/>
    <w:rsid w:val="00C770BF"/>
    <w:rsid w:val="00C7797C"/>
    <w:rsid w:val="00C77A65"/>
    <w:rsid w:val="00C77ECC"/>
    <w:rsid w:val="00C80687"/>
    <w:rsid w:val="00C81A25"/>
    <w:rsid w:val="00C821F6"/>
    <w:rsid w:val="00C84104"/>
    <w:rsid w:val="00C87312"/>
    <w:rsid w:val="00C87B63"/>
    <w:rsid w:val="00C905D5"/>
    <w:rsid w:val="00C90FAC"/>
    <w:rsid w:val="00C917B5"/>
    <w:rsid w:val="00C91AB5"/>
    <w:rsid w:val="00C91B9F"/>
    <w:rsid w:val="00C92BA4"/>
    <w:rsid w:val="00C9477A"/>
    <w:rsid w:val="00C95BE2"/>
    <w:rsid w:val="00C95CAB"/>
    <w:rsid w:val="00C96393"/>
    <w:rsid w:val="00C96BC6"/>
    <w:rsid w:val="00C97BD5"/>
    <w:rsid w:val="00CA07EE"/>
    <w:rsid w:val="00CA1672"/>
    <w:rsid w:val="00CA2208"/>
    <w:rsid w:val="00CA2BEE"/>
    <w:rsid w:val="00CA2D5F"/>
    <w:rsid w:val="00CA2FB8"/>
    <w:rsid w:val="00CA4DE9"/>
    <w:rsid w:val="00CA5804"/>
    <w:rsid w:val="00CA652C"/>
    <w:rsid w:val="00CA65D9"/>
    <w:rsid w:val="00CA780D"/>
    <w:rsid w:val="00CA7B5E"/>
    <w:rsid w:val="00CB0053"/>
    <w:rsid w:val="00CB0457"/>
    <w:rsid w:val="00CB1AA0"/>
    <w:rsid w:val="00CB27A7"/>
    <w:rsid w:val="00CB32EB"/>
    <w:rsid w:val="00CB46A1"/>
    <w:rsid w:val="00CB6127"/>
    <w:rsid w:val="00CB633D"/>
    <w:rsid w:val="00CB6B30"/>
    <w:rsid w:val="00CB7367"/>
    <w:rsid w:val="00CB73D5"/>
    <w:rsid w:val="00CB7CA9"/>
    <w:rsid w:val="00CC00F7"/>
    <w:rsid w:val="00CC01DD"/>
    <w:rsid w:val="00CC01FD"/>
    <w:rsid w:val="00CC125E"/>
    <w:rsid w:val="00CC2302"/>
    <w:rsid w:val="00CC2734"/>
    <w:rsid w:val="00CC284D"/>
    <w:rsid w:val="00CC2C23"/>
    <w:rsid w:val="00CC2F8C"/>
    <w:rsid w:val="00CC35B0"/>
    <w:rsid w:val="00CC3B62"/>
    <w:rsid w:val="00CC55AC"/>
    <w:rsid w:val="00CD01E4"/>
    <w:rsid w:val="00CD0AB8"/>
    <w:rsid w:val="00CD2A60"/>
    <w:rsid w:val="00CD3F5B"/>
    <w:rsid w:val="00CD4FBE"/>
    <w:rsid w:val="00CD6F73"/>
    <w:rsid w:val="00CD75E6"/>
    <w:rsid w:val="00CD7694"/>
    <w:rsid w:val="00CD791D"/>
    <w:rsid w:val="00CE17D8"/>
    <w:rsid w:val="00CE2699"/>
    <w:rsid w:val="00CE2801"/>
    <w:rsid w:val="00CE4A13"/>
    <w:rsid w:val="00CE4E3E"/>
    <w:rsid w:val="00CE4F8D"/>
    <w:rsid w:val="00CE5251"/>
    <w:rsid w:val="00CF0AF7"/>
    <w:rsid w:val="00CF2C38"/>
    <w:rsid w:val="00CF50C6"/>
    <w:rsid w:val="00CF614E"/>
    <w:rsid w:val="00CF7AF8"/>
    <w:rsid w:val="00D00213"/>
    <w:rsid w:val="00D00832"/>
    <w:rsid w:val="00D016B8"/>
    <w:rsid w:val="00D04712"/>
    <w:rsid w:val="00D05B08"/>
    <w:rsid w:val="00D072AA"/>
    <w:rsid w:val="00D07306"/>
    <w:rsid w:val="00D11536"/>
    <w:rsid w:val="00D11863"/>
    <w:rsid w:val="00D123A2"/>
    <w:rsid w:val="00D1392A"/>
    <w:rsid w:val="00D13E05"/>
    <w:rsid w:val="00D14AB0"/>
    <w:rsid w:val="00D16770"/>
    <w:rsid w:val="00D230D2"/>
    <w:rsid w:val="00D23F25"/>
    <w:rsid w:val="00D23FDC"/>
    <w:rsid w:val="00D24612"/>
    <w:rsid w:val="00D25AE7"/>
    <w:rsid w:val="00D26D4C"/>
    <w:rsid w:val="00D27314"/>
    <w:rsid w:val="00D276ED"/>
    <w:rsid w:val="00D302BD"/>
    <w:rsid w:val="00D31AA1"/>
    <w:rsid w:val="00D32037"/>
    <w:rsid w:val="00D32447"/>
    <w:rsid w:val="00D32C20"/>
    <w:rsid w:val="00D331F3"/>
    <w:rsid w:val="00D355B8"/>
    <w:rsid w:val="00D36963"/>
    <w:rsid w:val="00D401C0"/>
    <w:rsid w:val="00D4159F"/>
    <w:rsid w:val="00D41934"/>
    <w:rsid w:val="00D41BCB"/>
    <w:rsid w:val="00D45072"/>
    <w:rsid w:val="00D46932"/>
    <w:rsid w:val="00D470FB"/>
    <w:rsid w:val="00D479B3"/>
    <w:rsid w:val="00D50724"/>
    <w:rsid w:val="00D50E56"/>
    <w:rsid w:val="00D52BE4"/>
    <w:rsid w:val="00D53A6D"/>
    <w:rsid w:val="00D53C78"/>
    <w:rsid w:val="00D54CBA"/>
    <w:rsid w:val="00D55AD6"/>
    <w:rsid w:val="00D55C06"/>
    <w:rsid w:val="00D57E1C"/>
    <w:rsid w:val="00D63558"/>
    <w:rsid w:val="00D64389"/>
    <w:rsid w:val="00D64FE6"/>
    <w:rsid w:val="00D659E1"/>
    <w:rsid w:val="00D6663E"/>
    <w:rsid w:val="00D66ABA"/>
    <w:rsid w:val="00D6720B"/>
    <w:rsid w:val="00D679FF"/>
    <w:rsid w:val="00D70043"/>
    <w:rsid w:val="00D70499"/>
    <w:rsid w:val="00D706A1"/>
    <w:rsid w:val="00D7301E"/>
    <w:rsid w:val="00D743EA"/>
    <w:rsid w:val="00D75A3C"/>
    <w:rsid w:val="00D76229"/>
    <w:rsid w:val="00D76943"/>
    <w:rsid w:val="00D77330"/>
    <w:rsid w:val="00D77528"/>
    <w:rsid w:val="00D7762B"/>
    <w:rsid w:val="00D80AE8"/>
    <w:rsid w:val="00D80BA6"/>
    <w:rsid w:val="00D80E26"/>
    <w:rsid w:val="00D830D0"/>
    <w:rsid w:val="00D83760"/>
    <w:rsid w:val="00D838A5"/>
    <w:rsid w:val="00D8392A"/>
    <w:rsid w:val="00D84277"/>
    <w:rsid w:val="00D8462E"/>
    <w:rsid w:val="00D8516F"/>
    <w:rsid w:val="00D85677"/>
    <w:rsid w:val="00D87650"/>
    <w:rsid w:val="00D87936"/>
    <w:rsid w:val="00D9345D"/>
    <w:rsid w:val="00D9453C"/>
    <w:rsid w:val="00D96CBA"/>
    <w:rsid w:val="00D96CE8"/>
    <w:rsid w:val="00D96D74"/>
    <w:rsid w:val="00D96FE8"/>
    <w:rsid w:val="00D97186"/>
    <w:rsid w:val="00DA045A"/>
    <w:rsid w:val="00DA0862"/>
    <w:rsid w:val="00DA24F0"/>
    <w:rsid w:val="00DA2D1E"/>
    <w:rsid w:val="00DA617C"/>
    <w:rsid w:val="00DA6A0E"/>
    <w:rsid w:val="00DA776E"/>
    <w:rsid w:val="00DA7CAC"/>
    <w:rsid w:val="00DB03CA"/>
    <w:rsid w:val="00DB1BD9"/>
    <w:rsid w:val="00DB3062"/>
    <w:rsid w:val="00DB57E7"/>
    <w:rsid w:val="00DB7EC2"/>
    <w:rsid w:val="00DC54C1"/>
    <w:rsid w:val="00DC675C"/>
    <w:rsid w:val="00DC6D5C"/>
    <w:rsid w:val="00DC7767"/>
    <w:rsid w:val="00DD0DEF"/>
    <w:rsid w:val="00DD0F03"/>
    <w:rsid w:val="00DD12C8"/>
    <w:rsid w:val="00DD2526"/>
    <w:rsid w:val="00DD3518"/>
    <w:rsid w:val="00DD3D3E"/>
    <w:rsid w:val="00DD3F78"/>
    <w:rsid w:val="00DD498C"/>
    <w:rsid w:val="00DD4CC4"/>
    <w:rsid w:val="00DD5F2E"/>
    <w:rsid w:val="00DD61AE"/>
    <w:rsid w:val="00DD6C2E"/>
    <w:rsid w:val="00DE0437"/>
    <w:rsid w:val="00DE0F1D"/>
    <w:rsid w:val="00DE125D"/>
    <w:rsid w:val="00DE29AD"/>
    <w:rsid w:val="00DE4FC3"/>
    <w:rsid w:val="00DE58E6"/>
    <w:rsid w:val="00DE5F5B"/>
    <w:rsid w:val="00DE6159"/>
    <w:rsid w:val="00DE6DEB"/>
    <w:rsid w:val="00DE7C24"/>
    <w:rsid w:val="00DF00C4"/>
    <w:rsid w:val="00DF06BA"/>
    <w:rsid w:val="00DF2B75"/>
    <w:rsid w:val="00DF3794"/>
    <w:rsid w:val="00DF55B2"/>
    <w:rsid w:val="00E00479"/>
    <w:rsid w:val="00E04250"/>
    <w:rsid w:val="00E04F1D"/>
    <w:rsid w:val="00E0559D"/>
    <w:rsid w:val="00E063A6"/>
    <w:rsid w:val="00E065D3"/>
    <w:rsid w:val="00E07093"/>
    <w:rsid w:val="00E11209"/>
    <w:rsid w:val="00E12B1C"/>
    <w:rsid w:val="00E15409"/>
    <w:rsid w:val="00E17AE5"/>
    <w:rsid w:val="00E2141D"/>
    <w:rsid w:val="00E21DED"/>
    <w:rsid w:val="00E21E26"/>
    <w:rsid w:val="00E2222E"/>
    <w:rsid w:val="00E22AB3"/>
    <w:rsid w:val="00E243A1"/>
    <w:rsid w:val="00E266B0"/>
    <w:rsid w:val="00E26935"/>
    <w:rsid w:val="00E27248"/>
    <w:rsid w:val="00E304ED"/>
    <w:rsid w:val="00E32CF4"/>
    <w:rsid w:val="00E3474A"/>
    <w:rsid w:val="00E37E35"/>
    <w:rsid w:val="00E41833"/>
    <w:rsid w:val="00E41BB5"/>
    <w:rsid w:val="00E43164"/>
    <w:rsid w:val="00E469BB"/>
    <w:rsid w:val="00E46DCA"/>
    <w:rsid w:val="00E5153C"/>
    <w:rsid w:val="00E530FC"/>
    <w:rsid w:val="00E55A3E"/>
    <w:rsid w:val="00E571F4"/>
    <w:rsid w:val="00E578BA"/>
    <w:rsid w:val="00E60365"/>
    <w:rsid w:val="00E609DF"/>
    <w:rsid w:val="00E60B7C"/>
    <w:rsid w:val="00E6107C"/>
    <w:rsid w:val="00E62A6B"/>
    <w:rsid w:val="00E62EE5"/>
    <w:rsid w:val="00E6454B"/>
    <w:rsid w:val="00E6646B"/>
    <w:rsid w:val="00E70628"/>
    <w:rsid w:val="00E7278E"/>
    <w:rsid w:val="00E72994"/>
    <w:rsid w:val="00E7358F"/>
    <w:rsid w:val="00E74020"/>
    <w:rsid w:val="00E745A8"/>
    <w:rsid w:val="00E752A2"/>
    <w:rsid w:val="00E7555D"/>
    <w:rsid w:val="00E760C3"/>
    <w:rsid w:val="00E7647C"/>
    <w:rsid w:val="00E76700"/>
    <w:rsid w:val="00E77D79"/>
    <w:rsid w:val="00E81283"/>
    <w:rsid w:val="00E820B9"/>
    <w:rsid w:val="00E831F0"/>
    <w:rsid w:val="00E8463C"/>
    <w:rsid w:val="00E84E91"/>
    <w:rsid w:val="00E85D17"/>
    <w:rsid w:val="00E861D2"/>
    <w:rsid w:val="00E86206"/>
    <w:rsid w:val="00E86452"/>
    <w:rsid w:val="00E87726"/>
    <w:rsid w:val="00E87DDD"/>
    <w:rsid w:val="00E87F25"/>
    <w:rsid w:val="00E91578"/>
    <w:rsid w:val="00E918E0"/>
    <w:rsid w:val="00E91D5B"/>
    <w:rsid w:val="00E92AAA"/>
    <w:rsid w:val="00E94D76"/>
    <w:rsid w:val="00EA192A"/>
    <w:rsid w:val="00EA1AF5"/>
    <w:rsid w:val="00EA258F"/>
    <w:rsid w:val="00EA3516"/>
    <w:rsid w:val="00EA5650"/>
    <w:rsid w:val="00EA5BFC"/>
    <w:rsid w:val="00EB0392"/>
    <w:rsid w:val="00EB2640"/>
    <w:rsid w:val="00EB2799"/>
    <w:rsid w:val="00EB2890"/>
    <w:rsid w:val="00EB3553"/>
    <w:rsid w:val="00EB3585"/>
    <w:rsid w:val="00EB3C82"/>
    <w:rsid w:val="00EC0DBC"/>
    <w:rsid w:val="00EC0E18"/>
    <w:rsid w:val="00EC1AEE"/>
    <w:rsid w:val="00EC1CD7"/>
    <w:rsid w:val="00EC20AD"/>
    <w:rsid w:val="00EC2E6B"/>
    <w:rsid w:val="00EC3A48"/>
    <w:rsid w:val="00EC3D2F"/>
    <w:rsid w:val="00EC4918"/>
    <w:rsid w:val="00EC4945"/>
    <w:rsid w:val="00EC54CC"/>
    <w:rsid w:val="00EC5B41"/>
    <w:rsid w:val="00EC69CE"/>
    <w:rsid w:val="00EC7E77"/>
    <w:rsid w:val="00ED1B57"/>
    <w:rsid w:val="00ED35F8"/>
    <w:rsid w:val="00ED4CF7"/>
    <w:rsid w:val="00EE2DE9"/>
    <w:rsid w:val="00EE49DD"/>
    <w:rsid w:val="00EF0C0E"/>
    <w:rsid w:val="00EF1154"/>
    <w:rsid w:val="00EF2676"/>
    <w:rsid w:val="00EF4AC4"/>
    <w:rsid w:val="00EF5329"/>
    <w:rsid w:val="00EF7705"/>
    <w:rsid w:val="00F000EF"/>
    <w:rsid w:val="00F00972"/>
    <w:rsid w:val="00F016E1"/>
    <w:rsid w:val="00F016FA"/>
    <w:rsid w:val="00F017B6"/>
    <w:rsid w:val="00F01D62"/>
    <w:rsid w:val="00F0345D"/>
    <w:rsid w:val="00F041D5"/>
    <w:rsid w:val="00F07721"/>
    <w:rsid w:val="00F07CDA"/>
    <w:rsid w:val="00F10247"/>
    <w:rsid w:val="00F10B33"/>
    <w:rsid w:val="00F11FAF"/>
    <w:rsid w:val="00F1214E"/>
    <w:rsid w:val="00F133C6"/>
    <w:rsid w:val="00F13B6B"/>
    <w:rsid w:val="00F1448E"/>
    <w:rsid w:val="00F153BC"/>
    <w:rsid w:val="00F16D99"/>
    <w:rsid w:val="00F21D25"/>
    <w:rsid w:val="00F2219B"/>
    <w:rsid w:val="00F22C9F"/>
    <w:rsid w:val="00F22E00"/>
    <w:rsid w:val="00F2328D"/>
    <w:rsid w:val="00F2364C"/>
    <w:rsid w:val="00F25103"/>
    <w:rsid w:val="00F26B92"/>
    <w:rsid w:val="00F26EDA"/>
    <w:rsid w:val="00F27010"/>
    <w:rsid w:val="00F27337"/>
    <w:rsid w:val="00F27C5E"/>
    <w:rsid w:val="00F3211F"/>
    <w:rsid w:val="00F32266"/>
    <w:rsid w:val="00F32D9C"/>
    <w:rsid w:val="00F32FD6"/>
    <w:rsid w:val="00F33FD0"/>
    <w:rsid w:val="00F35F4C"/>
    <w:rsid w:val="00F360DB"/>
    <w:rsid w:val="00F40417"/>
    <w:rsid w:val="00F43355"/>
    <w:rsid w:val="00F439D9"/>
    <w:rsid w:val="00F44009"/>
    <w:rsid w:val="00F45152"/>
    <w:rsid w:val="00F46BB6"/>
    <w:rsid w:val="00F47020"/>
    <w:rsid w:val="00F47470"/>
    <w:rsid w:val="00F501E6"/>
    <w:rsid w:val="00F5252A"/>
    <w:rsid w:val="00F52858"/>
    <w:rsid w:val="00F538B5"/>
    <w:rsid w:val="00F53B14"/>
    <w:rsid w:val="00F53B77"/>
    <w:rsid w:val="00F54458"/>
    <w:rsid w:val="00F559A0"/>
    <w:rsid w:val="00F56B03"/>
    <w:rsid w:val="00F575C2"/>
    <w:rsid w:val="00F57E05"/>
    <w:rsid w:val="00F6053C"/>
    <w:rsid w:val="00F60D74"/>
    <w:rsid w:val="00F61B71"/>
    <w:rsid w:val="00F62AE5"/>
    <w:rsid w:val="00F6362B"/>
    <w:rsid w:val="00F65B38"/>
    <w:rsid w:val="00F65D9A"/>
    <w:rsid w:val="00F673B5"/>
    <w:rsid w:val="00F67E29"/>
    <w:rsid w:val="00F709A9"/>
    <w:rsid w:val="00F710C2"/>
    <w:rsid w:val="00F72593"/>
    <w:rsid w:val="00F72A8A"/>
    <w:rsid w:val="00F7481D"/>
    <w:rsid w:val="00F75095"/>
    <w:rsid w:val="00F76D49"/>
    <w:rsid w:val="00F77A5F"/>
    <w:rsid w:val="00F803D8"/>
    <w:rsid w:val="00F83634"/>
    <w:rsid w:val="00F836CB"/>
    <w:rsid w:val="00F8483C"/>
    <w:rsid w:val="00F85446"/>
    <w:rsid w:val="00F85873"/>
    <w:rsid w:val="00F874FF"/>
    <w:rsid w:val="00F908B0"/>
    <w:rsid w:val="00F9119A"/>
    <w:rsid w:val="00F92231"/>
    <w:rsid w:val="00F923B7"/>
    <w:rsid w:val="00F92C03"/>
    <w:rsid w:val="00F93063"/>
    <w:rsid w:val="00F939CD"/>
    <w:rsid w:val="00F9592F"/>
    <w:rsid w:val="00F968C1"/>
    <w:rsid w:val="00F974EB"/>
    <w:rsid w:val="00F97861"/>
    <w:rsid w:val="00F97E93"/>
    <w:rsid w:val="00FA002C"/>
    <w:rsid w:val="00FA0932"/>
    <w:rsid w:val="00FA1408"/>
    <w:rsid w:val="00FA1835"/>
    <w:rsid w:val="00FA4A00"/>
    <w:rsid w:val="00FA4CEB"/>
    <w:rsid w:val="00FA5E20"/>
    <w:rsid w:val="00FA6C32"/>
    <w:rsid w:val="00FB08ED"/>
    <w:rsid w:val="00FB168B"/>
    <w:rsid w:val="00FB1895"/>
    <w:rsid w:val="00FB2F98"/>
    <w:rsid w:val="00FB4C5C"/>
    <w:rsid w:val="00FB75E3"/>
    <w:rsid w:val="00FC113D"/>
    <w:rsid w:val="00FC19F6"/>
    <w:rsid w:val="00FC21ED"/>
    <w:rsid w:val="00FC2A32"/>
    <w:rsid w:val="00FC3B01"/>
    <w:rsid w:val="00FC40B4"/>
    <w:rsid w:val="00FC4EE1"/>
    <w:rsid w:val="00FC611A"/>
    <w:rsid w:val="00FC6E7A"/>
    <w:rsid w:val="00FC6FD1"/>
    <w:rsid w:val="00FC78AD"/>
    <w:rsid w:val="00FD000E"/>
    <w:rsid w:val="00FD1922"/>
    <w:rsid w:val="00FD2211"/>
    <w:rsid w:val="00FD2376"/>
    <w:rsid w:val="00FD3A50"/>
    <w:rsid w:val="00FD4CF1"/>
    <w:rsid w:val="00FD5242"/>
    <w:rsid w:val="00FD52C6"/>
    <w:rsid w:val="00FD6C69"/>
    <w:rsid w:val="00FD7EA0"/>
    <w:rsid w:val="00FE01AB"/>
    <w:rsid w:val="00FE01FE"/>
    <w:rsid w:val="00FE0623"/>
    <w:rsid w:val="00FE2282"/>
    <w:rsid w:val="00FE24C0"/>
    <w:rsid w:val="00FE266E"/>
    <w:rsid w:val="00FE28AD"/>
    <w:rsid w:val="00FE2993"/>
    <w:rsid w:val="00FE369B"/>
    <w:rsid w:val="00FE5931"/>
    <w:rsid w:val="00FE69E8"/>
    <w:rsid w:val="00FE7738"/>
    <w:rsid w:val="00FE7852"/>
    <w:rsid w:val="00FF0E89"/>
    <w:rsid w:val="00FF2452"/>
    <w:rsid w:val="00FF4912"/>
    <w:rsid w:val="00FF4D39"/>
    <w:rsid w:val="00FF5A58"/>
    <w:rsid w:val="00FF6EC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2"/>
    <o:shapelayout v:ext="edit">
      <o:idmap v:ext="edit" data="1"/>
      <o:rules v:ext="edit">
        <o:r id="V:Rule5" type="connector" idref="#AutoShape 105"/>
        <o:r id="V:Rule6" type="connector" idref="#AutoShape 95"/>
        <o:r id="V:Rule7" type="connector" idref="#AutoShape 102"/>
        <o:r id="V:Rule8" type="connector" idref="#AutoShape 93"/>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7"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A5A"/>
    <w:pPr>
      <w:spacing w:after="240"/>
      <w:jc w:val="both"/>
    </w:pPr>
    <w:rPr>
      <w:rFonts w:eastAsia="MS Mincho"/>
      <w:sz w:val="22"/>
      <w:szCs w:val="24"/>
      <w:lang w:val="en-US" w:eastAsia="ja-JP"/>
    </w:rPr>
  </w:style>
  <w:style w:type="paragraph" w:styleId="Ttulo1">
    <w:name w:val="heading 1"/>
    <w:basedOn w:val="Ttulo"/>
    <w:next w:val="Normal"/>
    <w:link w:val="Ttulo1Car"/>
    <w:qFormat/>
    <w:rsid w:val="009F2634"/>
    <w:pPr>
      <w:keepNext/>
      <w:numPr>
        <w:numId w:val="19"/>
      </w:numPr>
      <w:spacing w:after="480"/>
      <w:jc w:val="left"/>
      <w:outlineLvl w:val="0"/>
    </w:pPr>
    <w:rPr>
      <w:rFonts w:cs="Arial"/>
      <w:kern w:val="32"/>
      <w:szCs w:val="32"/>
    </w:rPr>
  </w:style>
  <w:style w:type="paragraph" w:styleId="Ttulo2">
    <w:name w:val="heading 2"/>
    <w:aliases w:val="Paranum"/>
    <w:basedOn w:val="Normal"/>
    <w:next w:val="Normal"/>
    <w:link w:val="Ttulo2Car"/>
    <w:unhideWhenUsed/>
    <w:rsid w:val="00D838A5"/>
    <w:pPr>
      <w:keepNext/>
      <w:keepLines/>
      <w:spacing w:before="200"/>
      <w:outlineLvl w:val="1"/>
    </w:pPr>
    <w:rPr>
      <w:rFonts w:eastAsia="Times New Roman"/>
      <w:b/>
      <w:bCs/>
      <w:szCs w:val="26"/>
      <w:lang w:val="pt-BR" w:eastAsia="en-US"/>
    </w:rPr>
  </w:style>
  <w:style w:type="paragraph" w:styleId="Ttulo3">
    <w:name w:val="heading 3"/>
    <w:aliases w:val=" Centered,Centered"/>
    <w:basedOn w:val="Normal"/>
    <w:next w:val="Normal"/>
    <w:link w:val="Ttulo3Car"/>
    <w:rsid w:val="003B362C"/>
    <w:pPr>
      <w:keepNext/>
      <w:tabs>
        <w:tab w:val="left" w:pos="1134"/>
      </w:tabs>
      <w:spacing w:before="120"/>
      <w:jc w:val="center"/>
      <w:outlineLvl w:val="2"/>
    </w:pPr>
    <w:rPr>
      <w:rFonts w:eastAsia="Times New Roman"/>
      <w:b/>
      <w:sz w:val="23"/>
      <w:szCs w:val="22"/>
      <w:lang w:val="en-GB" w:eastAsia="en-GB"/>
    </w:rPr>
  </w:style>
  <w:style w:type="paragraph" w:styleId="Ttulo4">
    <w:name w:val="heading 4"/>
    <w:aliases w:val="Centred"/>
    <w:basedOn w:val="Normal"/>
    <w:next w:val="Normal"/>
    <w:link w:val="Ttulo4Car"/>
    <w:rsid w:val="003B362C"/>
    <w:pPr>
      <w:keepNext/>
      <w:numPr>
        <w:ilvl w:val="3"/>
        <w:numId w:val="18"/>
      </w:numPr>
      <w:tabs>
        <w:tab w:val="left" w:pos="1134"/>
      </w:tabs>
      <w:spacing w:before="120"/>
      <w:jc w:val="center"/>
      <w:outlineLvl w:val="3"/>
    </w:pPr>
    <w:rPr>
      <w:rFonts w:eastAsia="Times New Roman"/>
      <w:b/>
      <w:sz w:val="23"/>
      <w:szCs w:val="22"/>
      <w:lang w:val="en-GB" w:eastAsia="en-GB"/>
    </w:rPr>
  </w:style>
  <w:style w:type="paragraph" w:styleId="Ttulo5">
    <w:name w:val="heading 5"/>
    <w:aliases w:val=" Side,Side"/>
    <w:basedOn w:val="Normal"/>
    <w:next w:val="Normal"/>
    <w:link w:val="Ttulo5Car"/>
    <w:rsid w:val="003B362C"/>
    <w:pPr>
      <w:numPr>
        <w:ilvl w:val="4"/>
        <w:numId w:val="18"/>
      </w:numPr>
      <w:tabs>
        <w:tab w:val="left" w:pos="1134"/>
      </w:tabs>
      <w:spacing w:before="120"/>
      <w:outlineLvl w:val="4"/>
    </w:pPr>
    <w:rPr>
      <w:rFonts w:ascii="Times New Roman Bold" w:eastAsia="Times New Roman" w:hAnsi="Times New Roman Bold"/>
      <w:b/>
      <w:sz w:val="23"/>
      <w:szCs w:val="22"/>
      <w:lang w:val="en-GB" w:eastAsia="en-GB"/>
    </w:rPr>
  </w:style>
  <w:style w:type="paragraph" w:styleId="Ttulo6">
    <w:name w:val="heading 6"/>
    <w:basedOn w:val="Normal"/>
    <w:next w:val="Normal"/>
    <w:link w:val="Ttulo6Car"/>
    <w:rsid w:val="004A250F"/>
    <w:pPr>
      <w:numPr>
        <w:ilvl w:val="5"/>
        <w:numId w:val="18"/>
      </w:numPr>
      <w:spacing w:before="240" w:after="60"/>
      <w:outlineLvl w:val="5"/>
    </w:pPr>
    <w:rPr>
      <w:b/>
      <w:bCs/>
      <w:szCs w:val="22"/>
    </w:rPr>
  </w:style>
  <w:style w:type="paragraph" w:styleId="Ttulo7">
    <w:name w:val="heading 7"/>
    <w:basedOn w:val="Normal"/>
    <w:next w:val="Normal"/>
    <w:link w:val="Ttulo7Car"/>
    <w:rsid w:val="003B362C"/>
    <w:pPr>
      <w:numPr>
        <w:ilvl w:val="6"/>
        <w:numId w:val="18"/>
      </w:numPr>
      <w:tabs>
        <w:tab w:val="left" w:pos="1134"/>
      </w:tabs>
      <w:spacing w:before="240" w:after="60"/>
      <w:outlineLvl w:val="6"/>
    </w:pPr>
    <w:rPr>
      <w:rFonts w:ascii="Arial" w:eastAsia="Times New Roman" w:hAnsi="Arial"/>
      <w:szCs w:val="22"/>
      <w:lang w:val="en-GB" w:eastAsia="en-GB"/>
    </w:rPr>
  </w:style>
  <w:style w:type="paragraph" w:styleId="Ttulo8">
    <w:name w:val="heading 8"/>
    <w:basedOn w:val="Normal"/>
    <w:next w:val="Normal"/>
    <w:link w:val="Ttulo8Car"/>
    <w:rsid w:val="004A250F"/>
    <w:pPr>
      <w:keepNext/>
      <w:numPr>
        <w:ilvl w:val="7"/>
        <w:numId w:val="18"/>
      </w:numPr>
      <w:pBdr>
        <w:top w:val="single" w:sz="12" w:space="1" w:color="auto"/>
        <w:left w:val="single" w:sz="12" w:space="4" w:color="auto"/>
        <w:bottom w:val="single" w:sz="12" w:space="1" w:color="auto"/>
        <w:right w:val="single" w:sz="12" w:space="4" w:color="auto"/>
      </w:pBdr>
      <w:jc w:val="right"/>
      <w:outlineLvl w:val="7"/>
    </w:pPr>
    <w:rPr>
      <w:b/>
      <w:sz w:val="36"/>
      <w:szCs w:val="36"/>
    </w:rPr>
  </w:style>
  <w:style w:type="paragraph" w:styleId="Ttulo9">
    <w:name w:val="heading 9"/>
    <w:basedOn w:val="Normal"/>
    <w:next w:val="Normal"/>
    <w:link w:val="Ttulo9Car"/>
    <w:rsid w:val="003B362C"/>
    <w:pPr>
      <w:numPr>
        <w:ilvl w:val="8"/>
        <w:numId w:val="18"/>
      </w:numPr>
      <w:tabs>
        <w:tab w:val="left" w:pos="1134"/>
      </w:tabs>
      <w:spacing w:before="240" w:after="60"/>
      <w:outlineLvl w:val="8"/>
    </w:pPr>
    <w:rPr>
      <w:rFonts w:ascii="Arial" w:eastAsia="Times New Roman" w:hAnsi="Arial"/>
      <w:i/>
      <w:sz w:val="18"/>
      <w:szCs w:val="22"/>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n,Footnote Text Char1,Footnote Text Char Char,FOOTNOTES,single space,footnote text,Footnote Text Char Char1,Footnote Text Char Char Char,FOOTNOTES Char Char,fn Char Char,single space Char Char,footnote text Char Char,FOOTNOTES Char1,ft,f"/>
    <w:basedOn w:val="Normal"/>
    <w:link w:val="TextonotapieCar"/>
    <w:rsid w:val="004A250F"/>
    <w:rPr>
      <w:rFonts w:eastAsia="Times New Roman"/>
      <w:sz w:val="20"/>
      <w:szCs w:val="20"/>
      <w:lang w:eastAsia="en-US"/>
    </w:rPr>
  </w:style>
  <w:style w:type="character" w:styleId="Refdenotaalpie">
    <w:name w:val="footnote reference"/>
    <w:aliases w:val="ftref,16 Point,Superscript 6 Point,Ref,de nota al pie,referencia nota al pie,BVI fnr"/>
    <w:basedOn w:val="Fuentedeprrafopredeter"/>
    <w:rsid w:val="004A250F"/>
    <w:rPr>
      <w:vertAlign w:val="superscript"/>
    </w:rPr>
  </w:style>
  <w:style w:type="paragraph" w:styleId="Encabezado">
    <w:name w:val="header"/>
    <w:basedOn w:val="Normal"/>
    <w:link w:val="EncabezadoCar"/>
    <w:rsid w:val="004A250F"/>
    <w:pPr>
      <w:tabs>
        <w:tab w:val="center" w:pos="4320"/>
        <w:tab w:val="right" w:pos="8640"/>
      </w:tabs>
    </w:pPr>
  </w:style>
  <w:style w:type="paragraph" w:styleId="Piedepgina">
    <w:name w:val="footer"/>
    <w:basedOn w:val="Normal"/>
    <w:link w:val="PiedepginaCar"/>
    <w:uiPriority w:val="99"/>
    <w:rsid w:val="004A250F"/>
    <w:pPr>
      <w:tabs>
        <w:tab w:val="center" w:pos="4320"/>
        <w:tab w:val="right" w:pos="8640"/>
      </w:tabs>
    </w:pPr>
  </w:style>
  <w:style w:type="paragraph" w:customStyle="1" w:styleId="APdroughtChapter">
    <w:name w:val="AP_drought_Chapter"/>
    <w:basedOn w:val="Encabezado"/>
    <w:next w:val="APSubheading"/>
    <w:link w:val="APdroughtChapterCar"/>
    <w:rsid w:val="004A250F"/>
    <w:pPr>
      <w:numPr>
        <w:ilvl w:val="1"/>
        <w:numId w:val="2"/>
      </w:numPr>
      <w:jc w:val="center"/>
    </w:pPr>
    <w:rPr>
      <w:b/>
      <w:sz w:val="32"/>
      <w:szCs w:val="32"/>
    </w:rPr>
  </w:style>
  <w:style w:type="paragraph" w:customStyle="1" w:styleId="APSubheading">
    <w:name w:val="AP_Subheading"/>
    <w:basedOn w:val="APDroughtPara"/>
    <w:next w:val="APDroughtPara"/>
    <w:link w:val="APSubheadingChar"/>
    <w:rsid w:val="004A250F"/>
    <w:pPr>
      <w:numPr>
        <w:ilvl w:val="0"/>
        <w:numId w:val="0"/>
      </w:numPr>
    </w:pPr>
    <w:rPr>
      <w:sz w:val="28"/>
    </w:rPr>
  </w:style>
  <w:style w:type="paragraph" w:customStyle="1" w:styleId="APDroughtPara">
    <w:name w:val="AP_Drought_Para"/>
    <w:basedOn w:val="Normal"/>
    <w:link w:val="APDroughtParaChar"/>
    <w:rsid w:val="004A250F"/>
    <w:pPr>
      <w:numPr>
        <w:ilvl w:val="2"/>
        <w:numId w:val="2"/>
      </w:numPr>
      <w:outlineLvl w:val="1"/>
    </w:pPr>
    <w:rPr>
      <w:rFonts w:eastAsia="Times New Roman"/>
      <w:lang w:eastAsia="en-US"/>
    </w:rPr>
  </w:style>
  <w:style w:type="paragraph" w:styleId="Textoindependiente2">
    <w:name w:val="Body Text 2"/>
    <w:basedOn w:val="Normal"/>
    <w:rsid w:val="004A250F"/>
    <w:rPr>
      <w:rFonts w:cs="Arial"/>
    </w:rPr>
  </w:style>
  <w:style w:type="paragraph" w:styleId="TDC1">
    <w:name w:val="toc 1"/>
    <w:basedOn w:val="Normal"/>
    <w:next w:val="Normal"/>
    <w:autoRedefine/>
    <w:uiPriority w:val="39"/>
    <w:qFormat/>
    <w:rsid w:val="00F32FD6"/>
    <w:pPr>
      <w:spacing w:before="240" w:after="120"/>
    </w:pPr>
    <w:rPr>
      <w:b/>
    </w:rPr>
  </w:style>
  <w:style w:type="paragraph" w:styleId="TDC2">
    <w:name w:val="toc 2"/>
    <w:basedOn w:val="Normal"/>
    <w:next w:val="Normal"/>
    <w:autoRedefine/>
    <w:uiPriority w:val="39"/>
    <w:qFormat/>
    <w:rsid w:val="00F32FD6"/>
    <w:pPr>
      <w:tabs>
        <w:tab w:val="left" w:pos="660"/>
        <w:tab w:val="right" w:leader="dot" w:pos="8630"/>
      </w:tabs>
      <w:spacing w:after="120"/>
      <w:ind w:left="658"/>
    </w:pPr>
    <w:rPr>
      <w:noProof/>
    </w:rPr>
  </w:style>
  <w:style w:type="character" w:styleId="Hipervnculo">
    <w:name w:val="Hyperlink"/>
    <w:basedOn w:val="Fuentedeprrafopredeter"/>
    <w:uiPriority w:val="99"/>
    <w:rsid w:val="004A250F"/>
    <w:rPr>
      <w:color w:val="0000FF"/>
      <w:u w:val="single"/>
    </w:rPr>
  </w:style>
  <w:style w:type="paragraph" w:styleId="Ttulo">
    <w:name w:val="Title"/>
    <w:basedOn w:val="Normal"/>
    <w:rsid w:val="004A250F"/>
    <w:pPr>
      <w:numPr>
        <w:numId w:val="1"/>
      </w:numPr>
      <w:jc w:val="center"/>
    </w:pPr>
    <w:rPr>
      <w:rFonts w:eastAsia="Times New Roman"/>
      <w:b/>
      <w:bCs/>
      <w:sz w:val="32"/>
      <w:szCs w:val="20"/>
      <w:lang w:eastAsia="en-US"/>
    </w:rPr>
  </w:style>
  <w:style w:type="paragraph" w:customStyle="1" w:styleId="APFigurehandnumber">
    <w:name w:val="AP_Figure_hand_number"/>
    <w:basedOn w:val="Normal"/>
    <w:rsid w:val="004A250F"/>
    <w:pPr>
      <w:widowControl w:val="0"/>
      <w:jc w:val="center"/>
    </w:pPr>
    <w:rPr>
      <w:b/>
      <w:snapToGrid w:val="0"/>
      <w:szCs w:val="22"/>
    </w:rPr>
  </w:style>
  <w:style w:type="paragraph" w:customStyle="1" w:styleId="StyleAPdroughtChapterCentered">
    <w:name w:val="Style AP_drought_Chapter + Centered"/>
    <w:basedOn w:val="APdroughtChapter"/>
    <w:semiHidden/>
    <w:rsid w:val="004A250F"/>
    <w:pPr>
      <w:numPr>
        <w:ilvl w:val="0"/>
        <w:numId w:val="3"/>
      </w:numPr>
    </w:pPr>
    <w:rPr>
      <w:bCs/>
      <w:szCs w:val="20"/>
    </w:rPr>
  </w:style>
  <w:style w:type="paragraph" w:customStyle="1" w:styleId="APnonnumberchapters">
    <w:name w:val="AP_nonnumberchapters"/>
    <w:basedOn w:val="Ttulo1"/>
    <w:rsid w:val="004A250F"/>
    <w:pPr>
      <w:spacing w:before="100" w:beforeAutospacing="1" w:after="240"/>
      <w:jc w:val="center"/>
    </w:pPr>
    <w:rPr>
      <w:caps/>
    </w:rPr>
  </w:style>
  <w:style w:type="character" w:customStyle="1" w:styleId="APnonnumberchaptersChar">
    <w:name w:val="AP_nonnumberchapters Char"/>
    <w:basedOn w:val="Fuentedeprrafopredeter"/>
    <w:rsid w:val="004A250F"/>
    <w:rPr>
      <w:rFonts w:cs="Arial"/>
      <w:b/>
      <w:bCs/>
      <w:caps/>
      <w:kern w:val="32"/>
      <w:sz w:val="32"/>
      <w:szCs w:val="32"/>
      <w:lang w:val="en-US" w:eastAsia="en-US" w:bidi="ar-SA"/>
    </w:rPr>
  </w:style>
  <w:style w:type="table" w:styleId="Tablaconcuadrcula">
    <w:name w:val="Table Grid"/>
    <w:basedOn w:val="Tablanormal"/>
    <w:rsid w:val="004A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PdroughtChapterAfter36pt">
    <w:name w:val="Style AP_drought_Chapter + After:  36 pt"/>
    <w:basedOn w:val="APdroughtChapter"/>
    <w:rsid w:val="004A250F"/>
    <w:pPr>
      <w:spacing w:after="720"/>
    </w:pPr>
    <w:rPr>
      <w:rFonts w:eastAsia="Times New Roman"/>
    </w:rPr>
  </w:style>
  <w:style w:type="paragraph" w:customStyle="1" w:styleId="Box">
    <w:name w:val="Box"/>
    <w:basedOn w:val="Ttulo6"/>
    <w:rsid w:val="004A250F"/>
  </w:style>
  <w:style w:type="paragraph" w:styleId="HTMLconformatoprevio">
    <w:name w:val="HTML Preformatted"/>
    <w:basedOn w:val="Normal"/>
    <w:rsid w:val="00480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GB"/>
    </w:rPr>
  </w:style>
  <w:style w:type="paragraph" w:styleId="Textodeglobo">
    <w:name w:val="Balloon Text"/>
    <w:basedOn w:val="Normal"/>
    <w:link w:val="TextodegloboCar"/>
    <w:rsid w:val="003C5EE7"/>
    <w:rPr>
      <w:rFonts w:ascii="Tahoma" w:hAnsi="Tahoma" w:cs="Tahoma"/>
      <w:sz w:val="16"/>
      <w:szCs w:val="16"/>
    </w:rPr>
  </w:style>
  <w:style w:type="character" w:styleId="Nmerodepgina">
    <w:name w:val="page number"/>
    <w:basedOn w:val="Fuentedeprrafopredeter"/>
    <w:rsid w:val="00D00213"/>
  </w:style>
  <w:style w:type="character" w:customStyle="1" w:styleId="Tabletext">
    <w:name w:val="Table text"/>
    <w:basedOn w:val="Fuentedeprrafopredeter"/>
    <w:rsid w:val="00A25EB0"/>
    <w:rPr>
      <w:rFonts w:ascii="Times New Roman" w:hAnsi="Times New Roman" w:cs="Arial"/>
      <w:color w:val="000000"/>
      <w:sz w:val="16"/>
      <w:lang w:val="en-US" w:eastAsia="en-US" w:bidi="ar-SA"/>
    </w:rPr>
  </w:style>
  <w:style w:type="character" w:customStyle="1" w:styleId="TextonotapieCar">
    <w:name w:val="Texto nota pie Car"/>
    <w:aliases w:val="fn Car,Footnote Text Char1 Car,Footnote Text Char Char Car,FOOTNOTES Car,single space Car,footnote text Car,Footnote Text Char Char1 Car,Footnote Text Char Char Char Car,FOOTNOTES Char Char Car,fn Char Char Car,FOOTNOTES Char1 Car"/>
    <w:basedOn w:val="Fuentedeprrafopredeter"/>
    <w:link w:val="Textonotapie"/>
    <w:rsid w:val="00374B49"/>
    <w:rPr>
      <w:lang w:val="en-US" w:eastAsia="en-US" w:bidi="ar-SA"/>
    </w:rPr>
  </w:style>
  <w:style w:type="paragraph" w:styleId="Textoindependiente">
    <w:name w:val="Body Text"/>
    <w:basedOn w:val="Normal"/>
    <w:link w:val="TextoindependienteCar"/>
    <w:rsid w:val="00D838A5"/>
    <w:pPr>
      <w:spacing w:after="120"/>
    </w:pPr>
  </w:style>
  <w:style w:type="character" w:customStyle="1" w:styleId="TextoindependienteCar">
    <w:name w:val="Texto independiente Car"/>
    <w:basedOn w:val="Fuentedeprrafopredeter"/>
    <w:link w:val="Textoindependiente"/>
    <w:rsid w:val="00D838A5"/>
    <w:rPr>
      <w:rFonts w:eastAsia="MS Mincho"/>
      <w:sz w:val="24"/>
      <w:szCs w:val="24"/>
      <w:lang w:eastAsia="ja-JP"/>
    </w:rPr>
  </w:style>
  <w:style w:type="character" w:customStyle="1" w:styleId="Ttulo2Car">
    <w:name w:val="Título 2 Car"/>
    <w:aliases w:val="Paranum Car"/>
    <w:basedOn w:val="Fuentedeprrafopredeter"/>
    <w:link w:val="Ttulo2"/>
    <w:rsid w:val="00D838A5"/>
    <w:rPr>
      <w:b/>
      <w:bCs/>
      <w:sz w:val="22"/>
      <w:szCs w:val="26"/>
      <w:lang w:val="pt-BR" w:eastAsia="en-US"/>
    </w:rPr>
  </w:style>
  <w:style w:type="character" w:styleId="Textoennegrita">
    <w:name w:val="Strong"/>
    <w:basedOn w:val="Fuentedeprrafopredeter"/>
    <w:uiPriority w:val="22"/>
    <w:qFormat/>
    <w:rsid w:val="00D838A5"/>
    <w:rPr>
      <w:b/>
      <w:bCs/>
    </w:rPr>
  </w:style>
  <w:style w:type="paragraph" w:styleId="Epgrafe">
    <w:name w:val="caption"/>
    <w:basedOn w:val="Normal"/>
    <w:next w:val="Normal"/>
    <w:uiPriority w:val="35"/>
    <w:unhideWhenUsed/>
    <w:qFormat/>
    <w:rsid w:val="00D838A5"/>
    <w:pPr>
      <w:spacing w:after="200"/>
      <w:ind w:left="130"/>
    </w:pPr>
    <w:rPr>
      <w:rFonts w:ascii="Calibri" w:eastAsia="Calibri" w:hAnsi="Calibri"/>
      <w:b/>
      <w:bCs/>
      <w:color w:val="4F81BD"/>
      <w:sz w:val="18"/>
      <w:szCs w:val="18"/>
      <w:lang w:val="pt-BR" w:eastAsia="en-US"/>
    </w:rPr>
  </w:style>
  <w:style w:type="character" w:customStyle="1" w:styleId="Ttulo3Car">
    <w:name w:val="Título 3 Car"/>
    <w:aliases w:val=" Centered Car,Centered Car"/>
    <w:basedOn w:val="Fuentedeprrafopredeter"/>
    <w:link w:val="Ttulo3"/>
    <w:rsid w:val="003B362C"/>
    <w:rPr>
      <w:b/>
      <w:sz w:val="23"/>
      <w:szCs w:val="22"/>
      <w:lang w:val="en-GB" w:eastAsia="en-GB"/>
    </w:rPr>
  </w:style>
  <w:style w:type="character" w:customStyle="1" w:styleId="Ttulo4Car">
    <w:name w:val="Título 4 Car"/>
    <w:aliases w:val="Centred Car"/>
    <w:basedOn w:val="Fuentedeprrafopredeter"/>
    <w:link w:val="Ttulo4"/>
    <w:rsid w:val="003B362C"/>
    <w:rPr>
      <w:b/>
      <w:sz w:val="23"/>
      <w:szCs w:val="22"/>
      <w:lang w:val="en-GB" w:eastAsia="en-GB"/>
    </w:rPr>
  </w:style>
  <w:style w:type="character" w:customStyle="1" w:styleId="Ttulo5Car">
    <w:name w:val="Título 5 Car"/>
    <w:aliases w:val=" Side Car,Side Car"/>
    <w:basedOn w:val="Fuentedeprrafopredeter"/>
    <w:link w:val="Ttulo5"/>
    <w:rsid w:val="003B362C"/>
    <w:rPr>
      <w:rFonts w:ascii="Times New Roman Bold" w:hAnsi="Times New Roman Bold"/>
      <w:b/>
      <w:sz w:val="23"/>
      <w:szCs w:val="22"/>
      <w:lang w:val="en-GB" w:eastAsia="en-GB"/>
    </w:rPr>
  </w:style>
  <w:style w:type="character" w:customStyle="1" w:styleId="Ttulo7Car">
    <w:name w:val="Título 7 Car"/>
    <w:basedOn w:val="Fuentedeprrafopredeter"/>
    <w:link w:val="Ttulo7"/>
    <w:rsid w:val="003B362C"/>
    <w:rPr>
      <w:rFonts w:ascii="Arial" w:hAnsi="Arial"/>
      <w:sz w:val="22"/>
      <w:szCs w:val="22"/>
      <w:lang w:val="en-GB" w:eastAsia="en-GB"/>
    </w:rPr>
  </w:style>
  <w:style w:type="character" w:customStyle="1" w:styleId="Ttulo9Car">
    <w:name w:val="Título 9 Car"/>
    <w:basedOn w:val="Fuentedeprrafopredeter"/>
    <w:link w:val="Ttulo9"/>
    <w:rsid w:val="003B362C"/>
    <w:rPr>
      <w:rFonts w:ascii="Arial" w:hAnsi="Arial"/>
      <w:i/>
      <w:sz w:val="18"/>
      <w:szCs w:val="22"/>
      <w:lang w:val="en-GB" w:eastAsia="en-GB"/>
    </w:rPr>
  </w:style>
  <w:style w:type="character" w:customStyle="1" w:styleId="APDroughtParaChar">
    <w:name w:val="AP_Drought_Para Char"/>
    <w:basedOn w:val="Fuentedeprrafopredeter"/>
    <w:link w:val="APDroughtPara"/>
    <w:rsid w:val="000A6819"/>
    <w:rPr>
      <w:sz w:val="22"/>
      <w:szCs w:val="24"/>
      <w:lang w:val="en-US" w:eastAsia="en-US"/>
    </w:rPr>
  </w:style>
  <w:style w:type="paragraph" w:styleId="Prrafodelista">
    <w:name w:val="List Paragraph"/>
    <w:basedOn w:val="Normal"/>
    <w:link w:val="PrrafodelistaCar"/>
    <w:uiPriority w:val="34"/>
    <w:qFormat/>
    <w:rsid w:val="002A6DCB"/>
    <w:pPr>
      <w:spacing w:after="200" w:line="276" w:lineRule="auto"/>
      <w:contextualSpacing/>
      <w:outlineLvl w:val="1"/>
    </w:pPr>
    <w:rPr>
      <w:rFonts w:ascii="Calibri" w:eastAsia="Calibri" w:hAnsi="Calibri"/>
      <w:szCs w:val="22"/>
      <w:lang w:eastAsia="en-US"/>
    </w:rPr>
  </w:style>
  <w:style w:type="numbering" w:customStyle="1" w:styleId="Style1">
    <w:name w:val="Style1"/>
    <w:rsid w:val="004D7C8D"/>
    <w:pPr>
      <w:numPr>
        <w:numId w:val="4"/>
      </w:numPr>
    </w:pPr>
  </w:style>
  <w:style w:type="character" w:styleId="Refdecomentario">
    <w:name w:val="annotation reference"/>
    <w:basedOn w:val="Fuentedeprrafopredeter"/>
    <w:rsid w:val="009A3F00"/>
    <w:rPr>
      <w:sz w:val="16"/>
      <w:szCs w:val="16"/>
    </w:rPr>
  </w:style>
  <w:style w:type="paragraph" w:styleId="Textocomentario">
    <w:name w:val="annotation text"/>
    <w:basedOn w:val="Normal"/>
    <w:link w:val="TextocomentarioCar"/>
    <w:rsid w:val="009A3F00"/>
    <w:rPr>
      <w:sz w:val="20"/>
      <w:szCs w:val="20"/>
    </w:rPr>
  </w:style>
  <w:style w:type="character" w:customStyle="1" w:styleId="TextocomentarioCar">
    <w:name w:val="Texto comentario Car"/>
    <w:basedOn w:val="Fuentedeprrafopredeter"/>
    <w:link w:val="Textocomentario"/>
    <w:rsid w:val="009A3F00"/>
    <w:rPr>
      <w:rFonts w:eastAsia="MS Mincho"/>
      <w:lang w:val="en-US" w:eastAsia="ja-JP"/>
    </w:rPr>
  </w:style>
  <w:style w:type="paragraph" w:styleId="Asuntodelcomentario">
    <w:name w:val="annotation subject"/>
    <w:basedOn w:val="Textocomentario"/>
    <w:next w:val="Textocomentario"/>
    <w:link w:val="AsuntodelcomentarioCar"/>
    <w:rsid w:val="009A3F00"/>
    <w:rPr>
      <w:b/>
      <w:bCs/>
    </w:rPr>
  </w:style>
  <w:style w:type="character" w:customStyle="1" w:styleId="AsuntodelcomentarioCar">
    <w:name w:val="Asunto del comentario Car"/>
    <w:basedOn w:val="TextocomentarioCar"/>
    <w:link w:val="Asuntodelcomentario"/>
    <w:rsid w:val="009A3F00"/>
    <w:rPr>
      <w:rFonts w:eastAsia="MS Mincho"/>
      <w:b/>
      <w:bCs/>
      <w:lang w:val="en-US" w:eastAsia="ja-JP"/>
    </w:rPr>
  </w:style>
  <w:style w:type="paragraph" w:customStyle="1" w:styleId="parrafosworldbank">
    <w:name w:val="parrafos worldbank"/>
    <w:basedOn w:val="Normal"/>
    <w:rsid w:val="003C5324"/>
    <w:pPr>
      <w:spacing w:after="0" w:line="360" w:lineRule="auto"/>
      <w:ind w:left="-720" w:firstLine="720"/>
    </w:pPr>
    <w:rPr>
      <w:rFonts w:ascii="Arial" w:eastAsia="Times New Roman" w:hAnsi="Arial" w:cs="Arial"/>
      <w:szCs w:val="22"/>
      <w:lang w:val="en-GB" w:eastAsia="es-ES"/>
    </w:rPr>
  </w:style>
  <w:style w:type="paragraph" w:customStyle="1" w:styleId="figurasinforworldbank">
    <w:name w:val="figuras infor world bank"/>
    <w:basedOn w:val="Normal"/>
    <w:rsid w:val="003C5324"/>
    <w:pPr>
      <w:autoSpaceDE w:val="0"/>
      <w:autoSpaceDN w:val="0"/>
      <w:adjustRightInd w:val="0"/>
      <w:spacing w:after="0" w:line="360" w:lineRule="auto"/>
      <w:ind w:left="-720"/>
      <w:jc w:val="left"/>
    </w:pPr>
    <w:rPr>
      <w:rFonts w:ascii="Arial" w:eastAsia="Times New Roman" w:hAnsi="Arial" w:cs="Arial"/>
      <w:b/>
      <w:sz w:val="20"/>
      <w:szCs w:val="20"/>
      <w:lang w:val="en-GB" w:eastAsia="es-ES"/>
    </w:rPr>
  </w:style>
  <w:style w:type="paragraph" w:styleId="NormalWeb">
    <w:name w:val="Normal (Web)"/>
    <w:basedOn w:val="Normal"/>
    <w:uiPriority w:val="99"/>
    <w:rsid w:val="003C5324"/>
    <w:pPr>
      <w:spacing w:before="100" w:beforeAutospacing="1" w:after="100" w:afterAutospacing="1"/>
      <w:jc w:val="left"/>
    </w:pPr>
    <w:rPr>
      <w:rFonts w:eastAsia="Times New Roman"/>
      <w:lang w:val="es-ES" w:eastAsia="es-ES"/>
    </w:rPr>
  </w:style>
  <w:style w:type="character" w:customStyle="1" w:styleId="Ttulo1Car">
    <w:name w:val="Título 1 Car"/>
    <w:basedOn w:val="Fuentedeprrafopredeter"/>
    <w:link w:val="Ttulo1"/>
    <w:rsid w:val="009F2634"/>
    <w:rPr>
      <w:rFonts w:cs="Arial"/>
      <w:b/>
      <w:bCs/>
      <w:kern w:val="32"/>
      <w:sz w:val="32"/>
      <w:szCs w:val="32"/>
      <w:lang w:val="en-US" w:eastAsia="en-US"/>
    </w:rPr>
  </w:style>
  <w:style w:type="character" w:customStyle="1" w:styleId="Ttulo6Car">
    <w:name w:val="Título 6 Car"/>
    <w:basedOn w:val="Fuentedeprrafopredeter"/>
    <w:link w:val="Ttulo6"/>
    <w:rsid w:val="00853A41"/>
    <w:rPr>
      <w:rFonts w:eastAsia="MS Mincho"/>
      <w:b/>
      <w:bCs/>
      <w:sz w:val="22"/>
      <w:szCs w:val="22"/>
      <w:lang w:val="en-US" w:eastAsia="ja-JP"/>
    </w:rPr>
  </w:style>
  <w:style w:type="character" w:customStyle="1" w:styleId="Ttulo8Car">
    <w:name w:val="Título 8 Car"/>
    <w:basedOn w:val="Fuentedeprrafopredeter"/>
    <w:link w:val="Ttulo8"/>
    <w:rsid w:val="00853A41"/>
    <w:rPr>
      <w:rFonts w:eastAsia="MS Mincho"/>
      <w:b/>
      <w:sz w:val="36"/>
      <w:szCs w:val="36"/>
      <w:lang w:val="en-US" w:eastAsia="ja-JP"/>
    </w:rPr>
  </w:style>
  <w:style w:type="character" w:customStyle="1" w:styleId="TextodegloboCar">
    <w:name w:val="Texto de globo Car"/>
    <w:basedOn w:val="Fuentedeprrafopredeter"/>
    <w:link w:val="Textodeglobo"/>
    <w:rsid w:val="00853A41"/>
    <w:rPr>
      <w:rFonts w:ascii="Tahoma" w:eastAsia="MS Mincho" w:hAnsi="Tahoma" w:cs="Tahoma"/>
      <w:sz w:val="16"/>
      <w:szCs w:val="16"/>
      <w:lang w:val="en-US" w:eastAsia="ja-JP"/>
    </w:rPr>
  </w:style>
  <w:style w:type="character" w:styleId="nfasis">
    <w:name w:val="Emphasis"/>
    <w:basedOn w:val="Fuentedeprrafopredeter"/>
    <w:uiPriority w:val="20"/>
    <w:qFormat/>
    <w:rsid w:val="00C92BA4"/>
    <w:rPr>
      <w:i/>
      <w:iCs/>
    </w:rPr>
  </w:style>
  <w:style w:type="paragraph" w:customStyle="1" w:styleId="Style2">
    <w:name w:val="Style2"/>
    <w:basedOn w:val="APSubheading"/>
    <w:link w:val="Style2Char"/>
    <w:rsid w:val="00621F13"/>
    <w:rPr>
      <w:b/>
      <w:szCs w:val="28"/>
    </w:rPr>
  </w:style>
  <w:style w:type="character" w:customStyle="1" w:styleId="longtext">
    <w:name w:val="long_text"/>
    <w:basedOn w:val="Fuentedeprrafopredeter"/>
    <w:uiPriority w:val="99"/>
    <w:rsid w:val="007754D4"/>
  </w:style>
  <w:style w:type="character" w:customStyle="1" w:styleId="APSubheadingChar">
    <w:name w:val="AP_Subheading Char"/>
    <w:basedOn w:val="APDroughtParaChar"/>
    <w:link w:val="APSubheading"/>
    <w:rsid w:val="00621F13"/>
    <w:rPr>
      <w:sz w:val="28"/>
      <w:szCs w:val="24"/>
      <w:lang w:val="en-US" w:eastAsia="en-US"/>
    </w:rPr>
  </w:style>
  <w:style w:type="character" w:customStyle="1" w:styleId="Style2Char">
    <w:name w:val="Style2 Char"/>
    <w:basedOn w:val="APSubheadingChar"/>
    <w:link w:val="Style2"/>
    <w:rsid w:val="00621F13"/>
    <w:rPr>
      <w:b/>
      <w:sz w:val="28"/>
      <w:szCs w:val="28"/>
      <w:lang w:val="en-US" w:eastAsia="en-US"/>
    </w:rPr>
  </w:style>
  <w:style w:type="paragraph" w:styleId="Revisin">
    <w:name w:val="Revision"/>
    <w:hidden/>
    <w:uiPriority w:val="99"/>
    <w:semiHidden/>
    <w:rsid w:val="00DF3794"/>
    <w:rPr>
      <w:rFonts w:eastAsia="MS Mincho"/>
      <w:sz w:val="24"/>
      <w:szCs w:val="24"/>
      <w:lang w:val="en-US" w:eastAsia="ja-JP"/>
    </w:rPr>
  </w:style>
  <w:style w:type="character" w:customStyle="1" w:styleId="EncabezadoCar">
    <w:name w:val="Encabezado Car"/>
    <w:basedOn w:val="Fuentedeprrafopredeter"/>
    <w:link w:val="Encabezado"/>
    <w:uiPriority w:val="99"/>
    <w:rsid w:val="0039157C"/>
    <w:rPr>
      <w:rFonts w:eastAsia="MS Mincho"/>
      <w:sz w:val="24"/>
      <w:szCs w:val="24"/>
      <w:lang w:val="en-US" w:eastAsia="ja-JP"/>
    </w:rPr>
  </w:style>
  <w:style w:type="character" w:customStyle="1" w:styleId="PiedepginaCar">
    <w:name w:val="Pie de página Car"/>
    <w:basedOn w:val="Fuentedeprrafopredeter"/>
    <w:link w:val="Piedepgina"/>
    <w:uiPriority w:val="99"/>
    <w:rsid w:val="0039157C"/>
    <w:rPr>
      <w:rFonts w:eastAsia="MS Mincho"/>
      <w:sz w:val="24"/>
      <w:szCs w:val="24"/>
      <w:lang w:val="en-US" w:eastAsia="ja-JP"/>
    </w:rPr>
  </w:style>
  <w:style w:type="numbering" w:customStyle="1" w:styleId="Estilo1">
    <w:name w:val="Estilo1"/>
    <w:uiPriority w:val="99"/>
    <w:rsid w:val="009E6ABB"/>
    <w:pPr>
      <w:numPr>
        <w:numId w:val="8"/>
      </w:numPr>
    </w:pPr>
  </w:style>
  <w:style w:type="paragraph" w:customStyle="1" w:styleId="WB">
    <w:name w:val="WB"/>
    <w:basedOn w:val="Ttulo"/>
    <w:link w:val="WBCar"/>
    <w:qFormat/>
    <w:rsid w:val="00B6022D"/>
    <w:pPr>
      <w:numPr>
        <w:ilvl w:val="2"/>
        <w:numId w:val="18"/>
      </w:numPr>
      <w:jc w:val="both"/>
    </w:pPr>
    <w:rPr>
      <w:b w:val="0"/>
      <w:sz w:val="22"/>
    </w:rPr>
  </w:style>
  <w:style w:type="character" w:customStyle="1" w:styleId="PrrafodelistaCar">
    <w:name w:val="Párrafo de lista Car"/>
    <w:basedOn w:val="Fuentedeprrafopredeter"/>
    <w:link w:val="Prrafodelista"/>
    <w:uiPriority w:val="34"/>
    <w:rsid w:val="002A6DCB"/>
    <w:rPr>
      <w:rFonts w:ascii="Calibri" w:eastAsia="Calibri" w:hAnsi="Calibri"/>
      <w:sz w:val="22"/>
      <w:szCs w:val="22"/>
      <w:lang w:val="en-US" w:eastAsia="en-US"/>
    </w:rPr>
  </w:style>
  <w:style w:type="character" w:customStyle="1" w:styleId="WBCar">
    <w:name w:val="WB Car"/>
    <w:basedOn w:val="PrrafodelistaCar"/>
    <w:link w:val="WB"/>
    <w:rsid w:val="00B6022D"/>
    <w:rPr>
      <w:rFonts w:ascii="Calibri" w:eastAsia="Calibri" w:hAnsi="Calibri"/>
      <w:bCs/>
      <w:sz w:val="22"/>
      <w:szCs w:val="22"/>
      <w:lang w:val="en-US" w:eastAsia="en-US"/>
    </w:rPr>
  </w:style>
  <w:style w:type="paragraph" w:styleId="Subttulo">
    <w:name w:val="Subtitle"/>
    <w:basedOn w:val="Normal"/>
    <w:next w:val="Normal"/>
    <w:link w:val="SubttuloCar"/>
    <w:qFormat/>
    <w:rsid w:val="00B6022D"/>
    <w:pPr>
      <w:numPr>
        <w:ilvl w:val="1"/>
        <w:numId w:val="19"/>
      </w:numPr>
    </w:pPr>
    <w:rPr>
      <w:rFonts w:eastAsiaTheme="majorEastAsia" w:cstheme="majorBidi"/>
      <w:b/>
      <w:iCs/>
      <w:sz w:val="24"/>
    </w:rPr>
  </w:style>
  <w:style w:type="character" w:customStyle="1" w:styleId="SubttuloCar">
    <w:name w:val="Subtítulo Car"/>
    <w:basedOn w:val="Fuentedeprrafopredeter"/>
    <w:link w:val="Subttulo"/>
    <w:rsid w:val="00B6022D"/>
    <w:rPr>
      <w:rFonts w:eastAsiaTheme="majorEastAsia" w:cstheme="majorBidi"/>
      <w:b/>
      <w:iCs/>
      <w:sz w:val="24"/>
      <w:szCs w:val="24"/>
      <w:lang w:val="en-US" w:eastAsia="ja-JP"/>
    </w:rPr>
  </w:style>
  <w:style w:type="paragraph" w:styleId="TtulodeTDC">
    <w:name w:val="TOC Heading"/>
    <w:basedOn w:val="Ttulo1"/>
    <w:next w:val="Normal"/>
    <w:uiPriority w:val="39"/>
    <w:unhideWhenUsed/>
    <w:qFormat/>
    <w:rsid w:val="0071152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3">
    <w:name w:val="toc 3"/>
    <w:basedOn w:val="Normal"/>
    <w:next w:val="Normal"/>
    <w:autoRedefine/>
    <w:uiPriority w:val="39"/>
    <w:qFormat/>
    <w:rsid w:val="0071152C"/>
    <w:pPr>
      <w:spacing w:after="100"/>
      <w:ind w:left="480"/>
    </w:pPr>
  </w:style>
  <w:style w:type="paragraph" w:styleId="TDC4">
    <w:name w:val="toc 4"/>
    <w:basedOn w:val="Normal"/>
    <w:next w:val="Normal"/>
    <w:autoRedefine/>
    <w:uiPriority w:val="39"/>
    <w:unhideWhenUsed/>
    <w:rsid w:val="0071152C"/>
    <w:pPr>
      <w:spacing w:after="100" w:line="276" w:lineRule="auto"/>
      <w:ind w:left="660"/>
      <w:jc w:val="left"/>
    </w:pPr>
    <w:rPr>
      <w:rFonts w:asciiTheme="minorHAnsi" w:eastAsiaTheme="minorEastAsia" w:hAnsiTheme="minorHAnsi" w:cstheme="minorBidi"/>
      <w:szCs w:val="22"/>
      <w:lang w:val="es-AR" w:eastAsia="es-AR"/>
    </w:rPr>
  </w:style>
  <w:style w:type="paragraph" w:styleId="TDC5">
    <w:name w:val="toc 5"/>
    <w:basedOn w:val="Normal"/>
    <w:next w:val="Normal"/>
    <w:autoRedefine/>
    <w:uiPriority w:val="39"/>
    <w:unhideWhenUsed/>
    <w:rsid w:val="0071152C"/>
    <w:pPr>
      <w:spacing w:after="100" w:line="276" w:lineRule="auto"/>
      <w:ind w:left="880"/>
      <w:jc w:val="left"/>
    </w:pPr>
    <w:rPr>
      <w:rFonts w:asciiTheme="minorHAnsi" w:eastAsiaTheme="minorEastAsia" w:hAnsiTheme="minorHAnsi" w:cstheme="minorBidi"/>
      <w:szCs w:val="22"/>
      <w:lang w:val="es-AR" w:eastAsia="es-AR"/>
    </w:rPr>
  </w:style>
  <w:style w:type="paragraph" w:styleId="TDC6">
    <w:name w:val="toc 6"/>
    <w:basedOn w:val="Normal"/>
    <w:next w:val="Normal"/>
    <w:autoRedefine/>
    <w:uiPriority w:val="39"/>
    <w:unhideWhenUsed/>
    <w:rsid w:val="0071152C"/>
    <w:pPr>
      <w:spacing w:after="100" w:line="276" w:lineRule="auto"/>
      <w:ind w:left="1100"/>
      <w:jc w:val="left"/>
    </w:pPr>
    <w:rPr>
      <w:rFonts w:asciiTheme="minorHAnsi" w:eastAsiaTheme="minorEastAsia" w:hAnsiTheme="minorHAnsi" w:cstheme="minorBidi"/>
      <w:szCs w:val="22"/>
      <w:lang w:val="es-AR" w:eastAsia="es-AR"/>
    </w:rPr>
  </w:style>
  <w:style w:type="paragraph" w:styleId="TDC7">
    <w:name w:val="toc 7"/>
    <w:basedOn w:val="Normal"/>
    <w:next w:val="Normal"/>
    <w:autoRedefine/>
    <w:uiPriority w:val="39"/>
    <w:unhideWhenUsed/>
    <w:rsid w:val="0071152C"/>
    <w:pPr>
      <w:spacing w:after="100" w:line="276" w:lineRule="auto"/>
      <w:ind w:left="1320"/>
      <w:jc w:val="left"/>
    </w:pPr>
    <w:rPr>
      <w:rFonts w:asciiTheme="minorHAnsi" w:eastAsiaTheme="minorEastAsia" w:hAnsiTheme="minorHAnsi" w:cstheme="minorBidi"/>
      <w:szCs w:val="22"/>
      <w:lang w:val="es-AR" w:eastAsia="es-AR"/>
    </w:rPr>
  </w:style>
  <w:style w:type="paragraph" w:styleId="TDC8">
    <w:name w:val="toc 8"/>
    <w:basedOn w:val="Normal"/>
    <w:next w:val="Normal"/>
    <w:autoRedefine/>
    <w:uiPriority w:val="39"/>
    <w:unhideWhenUsed/>
    <w:rsid w:val="0071152C"/>
    <w:pPr>
      <w:spacing w:after="100" w:line="276" w:lineRule="auto"/>
      <w:ind w:left="1540"/>
      <w:jc w:val="left"/>
    </w:pPr>
    <w:rPr>
      <w:rFonts w:asciiTheme="minorHAnsi" w:eastAsiaTheme="minorEastAsia" w:hAnsiTheme="minorHAnsi" w:cstheme="minorBidi"/>
      <w:szCs w:val="22"/>
      <w:lang w:val="es-AR" w:eastAsia="es-AR"/>
    </w:rPr>
  </w:style>
  <w:style w:type="paragraph" w:styleId="TDC9">
    <w:name w:val="toc 9"/>
    <w:basedOn w:val="Normal"/>
    <w:next w:val="Normal"/>
    <w:autoRedefine/>
    <w:uiPriority w:val="39"/>
    <w:unhideWhenUsed/>
    <w:rsid w:val="0071152C"/>
    <w:pPr>
      <w:spacing w:after="100" w:line="276" w:lineRule="auto"/>
      <w:ind w:left="1760"/>
      <w:jc w:val="left"/>
    </w:pPr>
    <w:rPr>
      <w:rFonts w:asciiTheme="minorHAnsi" w:eastAsiaTheme="minorEastAsia" w:hAnsiTheme="minorHAnsi" w:cstheme="minorBidi"/>
      <w:szCs w:val="22"/>
      <w:lang w:val="es-AR" w:eastAsia="es-AR"/>
    </w:rPr>
  </w:style>
  <w:style w:type="paragraph" w:customStyle="1" w:styleId="HeadFiguresTablesBoxes">
    <w:name w:val="Head_FiguresTablesBoxes"/>
    <w:basedOn w:val="Normal"/>
    <w:link w:val="FigurasyTablasCar"/>
    <w:qFormat/>
    <w:rsid w:val="00EF4AC4"/>
    <w:pPr>
      <w:spacing w:before="240" w:after="120"/>
    </w:pPr>
    <w:rPr>
      <w:b/>
      <w:szCs w:val="22"/>
    </w:rPr>
  </w:style>
  <w:style w:type="paragraph" w:customStyle="1" w:styleId="BoxContent">
    <w:name w:val="BoxContent"/>
    <w:basedOn w:val="Normal"/>
    <w:rsid w:val="00D96CBA"/>
    <w:pPr>
      <w:pBdr>
        <w:top w:val="single" w:sz="4" w:space="1" w:color="auto"/>
        <w:left w:val="single" w:sz="4" w:space="4" w:color="auto"/>
        <w:bottom w:val="single" w:sz="4" w:space="1" w:color="auto"/>
        <w:right w:val="single" w:sz="4" w:space="4" w:color="auto"/>
      </w:pBdr>
      <w:shd w:val="clear" w:color="auto" w:fill="D9D9D9"/>
    </w:pPr>
    <w:rPr>
      <w:rFonts w:eastAsia="Times New Roman"/>
      <w:sz w:val="20"/>
      <w:szCs w:val="20"/>
    </w:rPr>
  </w:style>
  <w:style w:type="character" w:customStyle="1" w:styleId="APdroughtChapterCar">
    <w:name w:val="AP_drought_Chapter Car"/>
    <w:basedOn w:val="EncabezadoCar"/>
    <w:link w:val="APdroughtChapter"/>
    <w:rsid w:val="00D96CE8"/>
    <w:rPr>
      <w:rFonts w:eastAsia="MS Mincho"/>
      <w:b/>
      <w:sz w:val="32"/>
      <w:szCs w:val="32"/>
      <w:lang w:val="en-US" w:eastAsia="ja-JP"/>
    </w:rPr>
  </w:style>
  <w:style w:type="character" w:customStyle="1" w:styleId="FigurasyTablasCar">
    <w:name w:val="Figuras y Tablas Car"/>
    <w:basedOn w:val="APdroughtChapterCar"/>
    <w:link w:val="HeadFiguresTablesBoxes"/>
    <w:rsid w:val="00D96CE8"/>
    <w:rPr>
      <w:rFonts w:eastAsia="MS Mincho"/>
      <w:b/>
      <w:sz w:val="32"/>
      <w:szCs w:val="32"/>
      <w:lang w:val="en-US" w:eastAsia="ja-JP"/>
    </w:rPr>
  </w:style>
  <w:style w:type="paragraph" w:customStyle="1" w:styleId="Source">
    <w:name w:val="Source"/>
    <w:basedOn w:val="Normal"/>
    <w:next w:val="WB"/>
    <w:link w:val="SourceCar"/>
    <w:qFormat/>
    <w:rsid w:val="000E35EC"/>
    <w:pPr>
      <w:spacing w:after="360"/>
    </w:pPr>
    <w:rPr>
      <w:sz w:val="20"/>
      <w:szCs w:val="20"/>
    </w:rPr>
  </w:style>
  <w:style w:type="character" w:customStyle="1" w:styleId="SourceCar">
    <w:name w:val="Source Car"/>
    <w:basedOn w:val="Fuentedeprrafopredeter"/>
    <w:link w:val="Source"/>
    <w:rsid w:val="000E35EC"/>
    <w:rPr>
      <w:rFonts w:eastAsia="MS Mincho"/>
      <w:lang w:val="en-US" w:eastAsia="ja-JP"/>
    </w:rPr>
  </w:style>
  <w:style w:type="character" w:styleId="Hipervnculovisitado">
    <w:name w:val="FollowedHyperlink"/>
    <w:basedOn w:val="Fuentedeprrafopredeter"/>
    <w:rsid w:val="002F20E2"/>
    <w:rPr>
      <w:color w:val="800080" w:themeColor="followedHyperlink"/>
      <w:u w:val="single"/>
    </w:rPr>
  </w:style>
  <w:style w:type="character" w:customStyle="1" w:styleId="a">
    <w:name w:val="a"/>
    <w:basedOn w:val="Fuentedeprrafopredeter"/>
    <w:rsid w:val="00D96FE8"/>
  </w:style>
  <w:style w:type="character" w:customStyle="1" w:styleId="w1">
    <w:name w:val="w1"/>
    <w:basedOn w:val="Fuentedeprrafopredeter"/>
    <w:rsid w:val="00D96FE8"/>
    <w:rPr>
      <w:color w:val="0000CC"/>
    </w:rPr>
  </w:style>
  <w:style w:type="paragraph" w:customStyle="1" w:styleId="Default">
    <w:name w:val="Default"/>
    <w:rsid w:val="00D96FE8"/>
    <w:pPr>
      <w:autoSpaceDE w:val="0"/>
      <w:autoSpaceDN w:val="0"/>
      <w:adjustRightInd w:val="0"/>
    </w:pPr>
    <w:rPr>
      <w:color w:val="000000"/>
      <w:sz w:val="24"/>
      <w:szCs w:val="24"/>
      <w:lang w:val="es-ES" w:eastAsia="es-ES"/>
    </w:rPr>
  </w:style>
  <w:style w:type="character" w:customStyle="1" w:styleId="apple-style-span">
    <w:name w:val="apple-style-span"/>
    <w:basedOn w:val="Fuentedeprrafopredeter"/>
    <w:rsid w:val="00D96FE8"/>
  </w:style>
  <w:style w:type="paragraph" w:styleId="Sangra2detindependiente">
    <w:name w:val="Body Text Indent 2"/>
    <w:basedOn w:val="Normal"/>
    <w:link w:val="Sangra2detindependienteCar"/>
    <w:rsid w:val="00D96FE8"/>
    <w:pPr>
      <w:widowControl w:val="0"/>
      <w:spacing w:before="60" w:after="0"/>
      <w:ind w:firstLine="709"/>
    </w:pPr>
    <w:rPr>
      <w:rFonts w:ascii="Arial" w:eastAsia="Times New Roman" w:hAnsi="Arial"/>
      <w:szCs w:val="20"/>
      <w:lang w:val="es-ES_tradnl" w:eastAsia="es-ES"/>
    </w:rPr>
  </w:style>
  <w:style w:type="character" w:customStyle="1" w:styleId="Sangra2detindependienteCar">
    <w:name w:val="Sangría 2 de t. independiente Car"/>
    <w:basedOn w:val="Fuentedeprrafopredeter"/>
    <w:link w:val="Sangra2detindependiente"/>
    <w:rsid w:val="00D96FE8"/>
    <w:rPr>
      <w:rFonts w:ascii="Arial" w:hAnsi="Arial"/>
      <w:sz w:val="22"/>
      <w:lang w:val="es-ES_tradnl" w:eastAsia="es-ES"/>
    </w:rPr>
  </w:style>
  <w:style w:type="character" w:styleId="Textodelmarcadordeposicin">
    <w:name w:val="Placeholder Text"/>
    <w:basedOn w:val="Fuentedeprrafopredeter"/>
    <w:uiPriority w:val="99"/>
    <w:semiHidden/>
    <w:rsid w:val="00D96FE8"/>
    <w:rPr>
      <w:color w:val="808080"/>
    </w:rPr>
  </w:style>
  <w:style w:type="paragraph" w:styleId="Textonotaalfinal">
    <w:name w:val="endnote text"/>
    <w:basedOn w:val="Normal"/>
    <w:link w:val="TextonotaalfinalCar"/>
    <w:rsid w:val="00D96FE8"/>
    <w:pPr>
      <w:spacing w:before="60" w:after="0"/>
      <w:ind w:firstLine="567"/>
    </w:pPr>
    <w:rPr>
      <w:rFonts w:eastAsia="Times New Roman"/>
      <w:sz w:val="20"/>
      <w:szCs w:val="20"/>
      <w:lang w:val="es-ES" w:eastAsia="es-ES"/>
    </w:rPr>
  </w:style>
  <w:style w:type="character" w:customStyle="1" w:styleId="TextonotaalfinalCar">
    <w:name w:val="Texto nota al final Car"/>
    <w:basedOn w:val="Fuentedeprrafopredeter"/>
    <w:link w:val="Textonotaalfinal"/>
    <w:rsid w:val="00D96FE8"/>
    <w:rPr>
      <w:lang w:val="es-ES" w:eastAsia="es-ES"/>
    </w:rPr>
  </w:style>
  <w:style w:type="character" w:styleId="Refdenotaalfinal">
    <w:name w:val="endnote reference"/>
    <w:basedOn w:val="Fuentedeprrafopredeter"/>
    <w:rsid w:val="00D96FE8"/>
    <w:rPr>
      <w:vertAlign w:val="superscript"/>
    </w:rPr>
  </w:style>
  <w:style w:type="paragraph" w:customStyle="1" w:styleId="WBReport">
    <w:name w:val="WB_Report"/>
    <w:basedOn w:val="Normal"/>
    <w:link w:val="WBReportCar"/>
    <w:qFormat/>
    <w:rsid w:val="00764792"/>
    <w:pPr>
      <w:widowControl w:val="0"/>
      <w:numPr>
        <w:ilvl w:val="2"/>
        <w:numId w:val="19"/>
      </w:numPr>
    </w:pPr>
  </w:style>
  <w:style w:type="character" w:customStyle="1" w:styleId="WBReportCar">
    <w:name w:val="WB_Report Car"/>
    <w:basedOn w:val="Fuentedeprrafopredeter"/>
    <w:link w:val="WBReport"/>
    <w:rsid w:val="00764792"/>
    <w:rPr>
      <w:rFonts w:eastAsia="MS Mincho"/>
      <w:sz w:val="22"/>
      <w:szCs w:val="24"/>
      <w:lang w:val="en-US" w:eastAsia="ja-JP"/>
    </w:rPr>
  </w:style>
  <w:style w:type="paragraph" w:customStyle="1" w:styleId="MainIdea">
    <w:name w:val="Main Idea"/>
    <w:link w:val="MainIdeaChar"/>
    <w:rsid w:val="00E12B1C"/>
    <w:pPr>
      <w:ind w:left="720"/>
    </w:pPr>
    <w:rPr>
      <w:rFonts w:ascii="Verdana" w:hAnsi="Verdana"/>
      <w:b/>
      <w:sz w:val="24"/>
      <w:szCs w:val="24"/>
      <w:lang w:val="en-US" w:eastAsia="en-GB"/>
    </w:rPr>
  </w:style>
  <w:style w:type="character" w:customStyle="1" w:styleId="MainIdeaChar">
    <w:name w:val="Main Idea Char"/>
    <w:link w:val="MainIdea"/>
    <w:locked/>
    <w:rsid w:val="00E12B1C"/>
    <w:rPr>
      <w:rFonts w:ascii="Verdana" w:hAnsi="Verdana"/>
      <w:b/>
      <w:sz w:val="24"/>
      <w:szCs w:val="24"/>
      <w:lang w:val="en-US" w:eastAsia="en-GB"/>
    </w:rPr>
  </w:style>
  <w:style w:type="paragraph" w:customStyle="1" w:styleId="Bullet2">
    <w:name w:val="Bullet 2"/>
    <w:basedOn w:val="Normal"/>
    <w:rsid w:val="00E12B1C"/>
    <w:pPr>
      <w:tabs>
        <w:tab w:val="num" w:pos="720"/>
      </w:tabs>
      <w:spacing w:after="120"/>
      <w:ind w:left="720" w:hanging="360"/>
      <w:jc w:val="left"/>
    </w:pPr>
    <w:rPr>
      <w:rFonts w:ascii="Verdana" w:eastAsia="Times New Roman" w:hAnsi="Verdana"/>
      <w:sz w:val="20"/>
      <w:lang w:eastAsia="en-US"/>
    </w:rPr>
  </w:style>
  <w:style w:type="paragraph" w:customStyle="1" w:styleId="TableBullet1">
    <w:name w:val="Table Bullet 1"/>
    <w:basedOn w:val="Normal"/>
    <w:qFormat/>
    <w:rsid w:val="00E12B1C"/>
    <w:pPr>
      <w:keepLines/>
      <w:numPr>
        <w:numId w:val="21"/>
      </w:numPr>
      <w:spacing w:after="120"/>
      <w:jc w:val="left"/>
    </w:pPr>
    <w:rPr>
      <w:rFonts w:ascii="Verdana" w:eastAsia="Times New Roman" w:hAnsi="Verdana"/>
      <w:sz w:val="20"/>
      <w:lang w:eastAsia="en-GB"/>
    </w:rPr>
  </w:style>
  <w:style w:type="character" w:customStyle="1" w:styleId="searchword">
    <w:name w:val="searchword"/>
    <w:rsid w:val="00E12B1C"/>
  </w:style>
  <w:style w:type="paragraph" w:styleId="Textoindependiente3">
    <w:name w:val="Body Text 3"/>
    <w:basedOn w:val="Normal"/>
    <w:link w:val="Textoindependiente3Car"/>
    <w:rsid w:val="008B1279"/>
    <w:pPr>
      <w:tabs>
        <w:tab w:val="left" w:pos="0"/>
      </w:tabs>
      <w:spacing w:after="0"/>
    </w:pPr>
    <w:rPr>
      <w:b/>
      <w:sz w:val="17"/>
      <w:szCs w:val="17"/>
    </w:rPr>
  </w:style>
  <w:style w:type="character" w:customStyle="1" w:styleId="Textoindependiente3Car">
    <w:name w:val="Texto independiente 3 Car"/>
    <w:basedOn w:val="Fuentedeprrafopredeter"/>
    <w:link w:val="Textoindependiente3"/>
    <w:rsid w:val="008B1279"/>
    <w:rPr>
      <w:rFonts w:eastAsia="MS Mincho"/>
      <w:b/>
      <w:sz w:val="17"/>
      <w:szCs w:val="17"/>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7"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A5A"/>
    <w:pPr>
      <w:spacing w:after="240"/>
      <w:jc w:val="both"/>
    </w:pPr>
    <w:rPr>
      <w:rFonts w:eastAsia="MS Mincho"/>
      <w:sz w:val="22"/>
      <w:szCs w:val="24"/>
      <w:lang w:val="en-US" w:eastAsia="ja-JP"/>
    </w:rPr>
  </w:style>
  <w:style w:type="paragraph" w:styleId="Heading1">
    <w:name w:val="heading 1"/>
    <w:basedOn w:val="Title"/>
    <w:next w:val="Normal"/>
    <w:link w:val="Heading1Char"/>
    <w:qFormat/>
    <w:rsid w:val="009F2634"/>
    <w:pPr>
      <w:keepNext/>
      <w:numPr>
        <w:numId w:val="19"/>
      </w:numPr>
      <w:spacing w:after="480"/>
      <w:jc w:val="left"/>
      <w:outlineLvl w:val="0"/>
    </w:pPr>
    <w:rPr>
      <w:rFonts w:cs="Arial"/>
      <w:kern w:val="32"/>
      <w:szCs w:val="32"/>
    </w:rPr>
  </w:style>
  <w:style w:type="paragraph" w:styleId="Heading2">
    <w:name w:val="heading 2"/>
    <w:aliases w:val="Paranum"/>
    <w:basedOn w:val="Normal"/>
    <w:next w:val="Normal"/>
    <w:link w:val="Heading2Char"/>
    <w:unhideWhenUsed/>
    <w:rsid w:val="00D838A5"/>
    <w:pPr>
      <w:keepNext/>
      <w:keepLines/>
      <w:spacing w:before="200"/>
      <w:outlineLvl w:val="1"/>
    </w:pPr>
    <w:rPr>
      <w:rFonts w:eastAsia="Times New Roman"/>
      <w:b/>
      <w:bCs/>
      <w:szCs w:val="26"/>
      <w:lang w:val="pt-BR" w:eastAsia="en-US"/>
    </w:rPr>
  </w:style>
  <w:style w:type="paragraph" w:styleId="Heading3">
    <w:name w:val="heading 3"/>
    <w:aliases w:val=" Centered,Centered"/>
    <w:basedOn w:val="Normal"/>
    <w:next w:val="Normal"/>
    <w:link w:val="Heading3Char"/>
    <w:rsid w:val="003B362C"/>
    <w:pPr>
      <w:keepNext/>
      <w:tabs>
        <w:tab w:val="left" w:pos="1134"/>
      </w:tabs>
      <w:spacing w:before="120"/>
      <w:jc w:val="center"/>
      <w:outlineLvl w:val="2"/>
    </w:pPr>
    <w:rPr>
      <w:rFonts w:eastAsia="Times New Roman"/>
      <w:b/>
      <w:sz w:val="23"/>
      <w:szCs w:val="22"/>
      <w:lang w:val="en-GB" w:eastAsia="en-GB"/>
    </w:rPr>
  </w:style>
  <w:style w:type="paragraph" w:styleId="Heading4">
    <w:name w:val="heading 4"/>
    <w:aliases w:val="Centred"/>
    <w:basedOn w:val="Normal"/>
    <w:next w:val="Normal"/>
    <w:link w:val="Heading4Char"/>
    <w:rsid w:val="003B362C"/>
    <w:pPr>
      <w:keepNext/>
      <w:numPr>
        <w:ilvl w:val="3"/>
        <w:numId w:val="18"/>
      </w:numPr>
      <w:tabs>
        <w:tab w:val="left" w:pos="1134"/>
      </w:tabs>
      <w:spacing w:before="120"/>
      <w:jc w:val="center"/>
      <w:outlineLvl w:val="3"/>
    </w:pPr>
    <w:rPr>
      <w:rFonts w:eastAsia="Times New Roman"/>
      <w:b/>
      <w:sz w:val="23"/>
      <w:szCs w:val="22"/>
      <w:lang w:val="en-GB" w:eastAsia="en-GB"/>
    </w:rPr>
  </w:style>
  <w:style w:type="paragraph" w:styleId="Heading5">
    <w:name w:val="heading 5"/>
    <w:aliases w:val=" Side,Side"/>
    <w:basedOn w:val="Normal"/>
    <w:next w:val="Normal"/>
    <w:link w:val="Heading5Char"/>
    <w:rsid w:val="003B362C"/>
    <w:pPr>
      <w:numPr>
        <w:ilvl w:val="4"/>
        <w:numId w:val="18"/>
      </w:numPr>
      <w:tabs>
        <w:tab w:val="left" w:pos="1134"/>
      </w:tabs>
      <w:spacing w:before="120"/>
      <w:outlineLvl w:val="4"/>
    </w:pPr>
    <w:rPr>
      <w:rFonts w:ascii="Times New Roman Bold" w:eastAsia="Times New Roman" w:hAnsi="Times New Roman Bold"/>
      <w:b/>
      <w:sz w:val="23"/>
      <w:szCs w:val="22"/>
      <w:lang w:val="en-GB" w:eastAsia="en-GB"/>
    </w:rPr>
  </w:style>
  <w:style w:type="paragraph" w:styleId="Heading6">
    <w:name w:val="heading 6"/>
    <w:basedOn w:val="Normal"/>
    <w:next w:val="Normal"/>
    <w:link w:val="Heading6Char"/>
    <w:rsid w:val="004A250F"/>
    <w:pPr>
      <w:numPr>
        <w:ilvl w:val="5"/>
        <w:numId w:val="18"/>
      </w:numPr>
      <w:spacing w:before="240" w:after="60"/>
      <w:outlineLvl w:val="5"/>
    </w:pPr>
    <w:rPr>
      <w:b/>
      <w:bCs/>
      <w:szCs w:val="22"/>
    </w:rPr>
  </w:style>
  <w:style w:type="paragraph" w:styleId="Heading7">
    <w:name w:val="heading 7"/>
    <w:basedOn w:val="Normal"/>
    <w:next w:val="Normal"/>
    <w:link w:val="Heading7Char"/>
    <w:rsid w:val="003B362C"/>
    <w:pPr>
      <w:numPr>
        <w:ilvl w:val="6"/>
        <w:numId w:val="18"/>
      </w:numPr>
      <w:tabs>
        <w:tab w:val="left" w:pos="1134"/>
      </w:tabs>
      <w:spacing w:before="240" w:after="60"/>
      <w:outlineLvl w:val="6"/>
    </w:pPr>
    <w:rPr>
      <w:rFonts w:ascii="Arial" w:eastAsia="Times New Roman" w:hAnsi="Arial"/>
      <w:szCs w:val="22"/>
      <w:lang w:val="en-GB" w:eastAsia="en-GB"/>
    </w:rPr>
  </w:style>
  <w:style w:type="paragraph" w:styleId="Heading8">
    <w:name w:val="heading 8"/>
    <w:basedOn w:val="Normal"/>
    <w:next w:val="Normal"/>
    <w:link w:val="Heading8Char"/>
    <w:rsid w:val="004A250F"/>
    <w:pPr>
      <w:keepNext/>
      <w:numPr>
        <w:ilvl w:val="7"/>
        <w:numId w:val="18"/>
      </w:numPr>
      <w:pBdr>
        <w:top w:val="single" w:sz="12" w:space="1" w:color="auto"/>
        <w:left w:val="single" w:sz="12" w:space="4" w:color="auto"/>
        <w:bottom w:val="single" w:sz="12" w:space="1" w:color="auto"/>
        <w:right w:val="single" w:sz="12" w:space="4" w:color="auto"/>
      </w:pBdr>
      <w:jc w:val="right"/>
      <w:outlineLvl w:val="7"/>
    </w:pPr>
    <w:rPr>
      <w:b/>
      <w:sz w:val="36"/>
      <w:szCs w:val="36"/>
    </w:rPr>
  </w:style>
  <w:style w:type="paragraph" w:styleId="Heading9">
    <w:name w:val="heading 9"/>
    <w:basedOn w:val="Normal"/>
    <w:next w:val="Normal"/>
    <w:link w:val="Heading9Char"/>
    <w:rsid w:val="003B362C"/>
    <w:pPr>
      <w:numPr>
        <w:ilvl w:val="8"/>
        <w:numId w:val="18"/>
      </w:numPr>
      <w:tabs>
        <w:tab w:val="left" w:pos="1134"/>
      </w:tabs>
      <w:spacing w:before="240" w:after="60"/>
      <w:outlineLvl w:val="8"/>
    </w:pPr>
    <w:rPr>
      <w:rFonts w:ascii="Arial" w:eastAsia="Times New Roman" w:hAnsi="Arial"/>
      <w:i/>
      <w:sz w:val="18"/>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 Char1,Footnote Text Char Char,FOOTNOTES,single space,footnote text,Footnote Text Char Char1,Footnote Text Char Char Char,FOOTNOTES Char Char,fn Char Char,single space Char Char,footnote text Char Char,FOOTNOTES Char1,ft,f"/>
    <w:basedOn w:val="Normal"/>
    <w:link w:val="FootnoteTextChar"/>
    <w:rsid w:val="004A250F"/>
    <w:rPr>
      <w:rFonts w:eastAsia="Times New Roman"/>
      <w:sz w:val="20"/>
      <w:szCs w:val="20"/>
      <w:lang w:eastAsia="en-US"/>
    </w:rPr>
  </w:style>
  <w:style w:type="character" w:styleId="FootnoteReference">
    <w:name w:val="footnote reference"/>
    <w:aliases w:val="ftref,16 Point,Superscript 6 Point,Ref,de nota al pie,referencia nota al pie,BVI fnr"/>
    <w:basedOn w:val="DefaultParagraphFont"/>
    <w:rsid w:val="004A250F"/>
    <w:rPr>
      <w:vertAlign w:val="superscript"/>
    </w:rPr>
  </w:style>
  <w:style w:type="paragraph" w:styleId="Header">
    <w:name w:val="header"/>
    <w:basedOn w:val="Normal"/>
    <w:link w:val="HeaderChar"/>
    <w:rsid w:val="004A250F"/>
    <w:pPr>
      <w:tabs>
        <w:tab w:val="center" w:pos="4320"/>
        <w:tab w:val="right" w:pos="8640"/>
      </w:tabs>
    </w:pPr>
  </w:style>
  <w:style w:type="paragraph" w:styleId="Footer">
    <w:name w:val="footer"/>
    <w:basedOn w:val="Normal"/>
    <w:link w:val="FooterChar"/>
    <w:uiPriority w:val="99"/>
    <w:rsid w:val="004A250F"/>
    <w:pPr>
      <w:tabs>
        <w:tab w:val="center" w:pos="4320"/>
        <w:tab w:val="right" w:pos="8640"/>
      </w:tabs>
    </w:pPr>
  </w:style>
  <w:style w:type="paragraph" w:customStyle="1" w:styleId="APdroughtChapter">
    <w:name w:val="AP_drought_Chapter"/>
    <w:basedOn w:val="Header"/>
    <w:next w:val="APSubheading"/>
    <w:link w:val="APdroughtChapterCar"/>
    <w:rsid w:val="004A250F"/>
    <w:pPr>
      <w:numPr>
        <w:ilvl w:val="1"/>
        <w:numId w:val="2"/>
      </w:numPr>
      <w:jc w:val="center"/>
    </w:pPr>
    <w:rPr>
      <w:b/>
      <w:sz w:val="32"/>
      <w:szCs w:val="32"/>
    </w:rPr>
  </w:style>
  <w:style w:type="paragraph" w:customStyle="1" w:styleId="APSubheading">
    <w:name w:val="AP_Subheading"/>
    <w:basedOn w:val="APDroughtPara"/>
    <w:next w:val="APDroughtPara"/>
    <w:link w:val="APSubheadingChar"/>
    <w:rsid w:val="004A250F"/>
    <w:pPr>
      <w:numPr>
        <w:ilvl w:val="0"/>
        <w:numId w:val="0"/>
      </w:numPr>
    </w:pPr>
    <w:rPr>
      <w:sz w:val="28"/>
    </w:rPr>
  </w:style>
  <w:style w:type="paragraph" w:customStyle="1" w:styleId="APDroughtPara">
    <w:name w:val="AP_Drought_Para"/>
    <w:basedOn w:val="Normal"/>
    <w:link w:val="APDroughtParaChar"/>
    <w:rsid w:val="004A250F"/>
    <w:pPr>
      <w:numPr>
        <w:ilvl w:val="2"/>
        <w:numId w:val="2"/>
      </w:numPr>
      <w:outlineLvl w:val="1"/>
    </w:pPr>
    <w:rPr>
      <w:rFonts w:eastAsia="Times New Roman"/>
      <w:lang w:eastAsia="en-US"/>
    </w:rPr>
  </w:style>
  <w:style w:type="paragraph" w:styleId="BodyText2">
    <w:name w:val="Body Text 2"/>
    <w:basedOn w:val="Normal"/>
    <w:rsid w:val="004A250F"/>
    <w:rPr>
      <w:rFonts w:cs="Arial"/>
    </w:rPr>
  </w:style>
  <w:style w:type="paragraph" w:styleId="TOC1">
    <w:name w:val="toc 1"/>
    <w:basedOn w:val="Normal"/>
    <w:next w:val="Normal"/>
    <w:autoRedefine/>
    <w:uiPriority w:val="39"/>
    <w:qFormat/>
    <w:rsid w:val="00F32FD6"/>
    <w:pPr>
      <w:spacing w:before="240" w:after="120"/>
    </w:pPr>
    <w:rPr>
      <w:b/>
    </w:rPr>
  </w:style>
  <w:style w:type="paragraph" w:styleId="TOC2">
    <w:name w:val="toc 2"/>
    <w:basedOn w:val="Normal"/>
    <w:next w:val="Normal"/>
    <w:autoRedefine/>
    <w:uiPriority w:val="39"/>
    <w:qFormat/>
    <w:rsid w:val="00F32FD6"/>
    <w:pPr>
      <w:tabs>
        <w:tab w:val="left" w:pos="660"/>
        <w:tab w:val="right" w:leader="dot" w:pos="8630"/>
      </w:tabs>
      <w:spacing w:after="120"/>
      <w:ind w:left="658"/>
    </w:pPr>
    <w:rPr>
      <w:noProof/>
    </w:rPr>
  </w:style>
  <w:style w:type="character" w:styleId="Hyperlink">
    <w:name w:val="Hyperlink"/>
    <w:basedOn w:val="DefaultParagraphFont"/>
    <w:uiPriority w:val="99"/>
    <w:rsid w:val="004A250F"/>
    <w:rPr>
      <w:color w:val="0000FF"/>
      <w:u w:val="single"/>
    </w:rPr>
  </w:style>
  <w:style w:type="paragraph" w:styleId="Title">
    <w:name w:val="Title"/>
    <w:basedOn w:val="Normal"/>
    <w:rsid w:val="004A250F"/>
    <w:pPr>
      <w:numPr>
        <w:numId w:val="1"/>
      </w:numPr>
      <w:jc w:val="center"/>
    </w:pPr>
    <w:rPr>
      <w:rFonts w:eastAsia="Times New Roman"/>
      <w:b/>
      <w:bCs/>
      <w:sz w:val="32"/>
      <w:szCs w:val="20"/>
      <w:lang w:eastAsia="en-US"/>
    </w:rPr>
  </w:style>
  <w:style w:type="paragraph" w:customStyle="1" w:styleId="APFigurehandnumber">
    <w:name w:val="AP_Figure_hand_number"/>
    <w:basedOn w:val="Normal"/>
    <w:rsid w:val="004A250F"/>
    <w:pPr>
      <w:widowControl w:val="0"/>
      <w:jc w:val="center"/>
    </w:pPr>
    <w:rPr>
      <w:b/>
      <w:snapToGrid w:val="0"/>
      <w:szCs w:val="22"/>
    </w:rPr>
  </w:style>
  <w:style w:type="paragraph" w:customStyle="1" w:styleId="StyleAPdroughtChapterCentered">
    <w:name w:val="Style AP_drought_Chapter + Centered"/>
    <w:basedOn w:val="APdroughtChapter"/>
    <w:semiHidden/>
    <w:rsid w:val="004A250F"/>
    <w:pPr>
      <w:numPr>
        <w:ilvl w:val="0"/>
        <w:numId w:val="3"/>
      </w:numPr>
    </w:pPr>
    <w:rPr>
      <w:bCs/>
      <w:szCs w:val="20"/>
    </w:rPr>
  </w:style>
  <w:style w:type="paragraph" w:customStyle="1" w:styleId="APnonnumberchapters">
    <w:name w:val="AP_nonnumberchapters"/>
    <w:basedOn w:val="Heading1"/>
    <w:rsid w:val="004A250F"/>
    <w:pPr>
      <w:spacing w:before="100" w:beforeAutospacing="1" w:after="240"/>
      <w:jc w:val="center"/>
    </w:pPr>
    <w:rPr>
      <w:caps/>
    </w:rPr>
  </w:style>
  <w:style w:type="character" w:customStyle="1" w:styleId="APnonnumberchaptersChar">
    <w:name w:val="AP_nonnumberchapters Char"/>
    <w:basedOn w:val="DefaultParagraphFont"/>
    <w:rsid w:val="004A250F"/>
    <w:rPr>
      <w:rFonts w:cs="Arial"/>
      <w:b/>
      <w:bCs/>
      <w:caps/>
      <w:kern w:val="32"/>
      <w:sz w:val="32"/>
      <w:szCs w:val="32"/>
      <w:lang w:val="en-US" w:eastAsia="en-US" w:bidi="ar-SA"/>
    </w:rPr>
  </w:style>
  <w:style w:type="table" w:styleId="TableGrid">
    <w:name w:val="Table Grid"/>
    <w:basedOn w:val="TableNormal"/>
    <w:rsid w:val="004A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PdroughtChapterAfter36pt">
    <w:name w:val="Style AP_drought_Chapter + After:  36 pt"/>
    <w:basedOn w:val="APdroughtChapter"/>
    <w:rsid w:val="004A250F"/>
    <w:pPr>
      <w:spacing w:after="720"/>
    </w:pPr>
    <w:rPr>
      <w:rFonts w:eastAsia="Times New Roman"/>
    </w:rPr>
  </w:style>
  <w:style w:type="paragraph" w:customStyle="1" w:styleId="Box">
    <w:name w:val="Box"/>
    <w:basedOn w:val="Heading6"/>
    <w:rsid w:val="004A250F"/>
  </w:style>
  <w:style w:type="paragraph" w:styleId="HTMLPreformatted">
    <w:name w:val="HTML Preformatted"/>
    <w:basedOn w:val="Normal"/>
    <w:rsid w:val="00480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GB"/>
    </w:rPr>
  </w:style>
  <w:style w:type="paragraph" w:styleId="BalloonText">
    <w:name w:val="Balloon Text"/>
    <w:basedOn w:val="Normal"/>
    <w:link w:val="BalloonTextChar"/>
    <w:rsid w:val="003C5EE7"/>
    <w:rPr>
      <w:rFonts w:ascii="Tahoma" w:hAnsi="Tahoma" w:cs="Tahoma"/>
      <w:sz w:val="16"/>
      <w:szCs w:val="16"/>
    </w:rPr>
  </w:style>
  <w:style w:type="character" w:styleId="PageNumber">
    <w:name w:val="page number"/>
    <w:basedOn w:val="DefaultParagraphFont"/>
    <w:rsid w:val="00D00213"/>
  </w:style>
  <w:style w:type="character" w:customStyle="1" w:styleId="Tabletext">
    <w:name w:val="Table text"/>
    <w:basedOn w:val="DefaultParagraphFont"/>
    <w:rsid w:val="00A25EB0"/>
    <w:rPr>
      <w:rFonts w:ascii="Times New Roman" w:hAnsi="Times New Roman" w:cs="Arial"/>
      <w:color w:val="000000"/>
      <w:sz w:val="16"/>
      <w:lang w:val="en-US" w:eastAsia="en-US" w:bidi="ar-SA"/>
    </w:rPr>
  </w:style>
  <w:style w:type="character" w:customStyle="1" w:styleId="FootnoteTextChar">
    <w:name w:val="Footnote Text Char"/>
    <w:aliases w:val="fn Char,Footnote Text Char1 Char,Footnote Text Char Char Char1,FOOTNOTES Char,single space Char,footnote text Char,Footnote Text Char Char1 Char,Footnote Text Char Char Char Char,FOOTNOTES Char Char Char,fn Char Char Char,ft Char"/>
    <w:basedOn w:val="DefaultParagraphFont"/>
    <w:link w:val="FootnoteText"/>
    <w:rsid w:val="00374B49"/>
    <w:rPr>
      <w:lang w:val="en-US" w:eastAsia="en-US" w:bidi="ar-SA"/>
    </w:rPr>
  </w:style>
  <w:style w:type="paragraph" w:styleId="BodyText">
    <w:name w:val="Body Text"/>
    <w:basedOn w:val="Normal"/>
    <w:link w:val="BodyTextChar"/>
    <w:rsid w:val="00D838A5"/>
    <w:pPr>
      <w:spacing w:after="120"/>
    </w:pPr>
  </w:style>
  <w:style w:type="character" w:customStyle="1" w:styleId="BodyTextChar">
    <w:name w:val="Body Text Char"/>
    <w:basedOn w:val="DefaultParagraphFont"/>
    <w:link w:val="BodyText"/>
    <w:rsid w:val="00D838A5"/>
    <w:rPr>
      <w:rFonts w:eastAsia="MS Mincho"/>
      <w:sz w:val="24"/>
      <w:szCs w:val="24"/>
      <w:lang w:eastAsia="ja-JP"/>
    </w:rPr>
  </w:style>
  <w:style w:type="character" w:customStyle="1" w:styleId="Heading2Char">
    <w:name w:val="Heading 2 Char"/>
    <w:aliases w:val="Paranum Char"/>
    <w:basedOn w:val="DefaultParagraphFont"/>
    <w:link w:val="Heading2"/>
    <w:rsid w:val="00D838A5"/>
    <w:rPr>
      <w:b/>
      <w:bCs/>
      <w:sz w:val="22"/>
      <w:szCs w:val="26"/>
      <w:lang w:val="pt-BR" w:eastAsia="en-US"/>
    </w:rPr>
  </w:style>
  <w:style w:type="character" w:styleId="Strong">
    <w:name w:val="Strong"/>
    <w:basedOn w:val="DefaultParagraphFont"/>
    <w:uiPriority w:val="22"/>
    <w:qFormat/>
    <w:rsid w:val="00D838A5"/>
    <w:rPr>
      <w:b/>
      <w:bCs/>
    </w:rPr>
  </w:style>
  <w:style w:type="paragraph" w:styleId="Caption">
    <w:name w:val="caption"/>
    <w:basedOn w:val="Normal"/>
    <w:next w:val="Normal"/>
    <w:uiPriority w:val="35"/>
    <w:unhideWhenUsed/>
    <w:qFormat/>
    <w:rsid w:val="00D838A5"/>
    <w:pPr>
      <w:spacing w:after="200"/>
      <w:ind w:left="130"/>
    </w:pPr>
    <w:rPr>
      <w:rFonts w:ascii="Calibri" w:eastAsia="Calibri" w:hAnsi="Calibri"/>
      <w:b/>
      <w:bCs/>
      <w:color w:val="4F81BD"/>
      <w:sz w:val="18"/>
      <w:szCs w:val="18"/>
      <w:lang w:val="pt-BR" w:eastAsia="en-US"/>
    </w:rPr>
  </w:style>
  <w:style w:type="character" w:customStyle="1" w:styleId="Heading3Char">
    <w:name w:val="Heading 3 Char"/>
    <w:aliases w:val=" Centered Char,Centered Char"/>
    <w:basedOn w:val="DefaultParagraphFont"/>
    <w:link w:val="Heading3"/>
    <w:rsid w:val="003B362C"/>
    <w:rPr>
      <w:b/>
      <w:sz w:val="23"/>
      <w:szCs w:val="22"/>
      <w:lang w:val="en-GB" w:eastAsia="en-GB"/>
    </w:rPr>
  </w:style>
  <w:style w:type="character" w:customStyle="1" w:styleId="Heading4Char">
    <w:name w:val="Heading 4 Char"/>
    <w:aliases w:val="Centred Char"/>
    <w:basedOn w:val="DefaultParagraphFont"/>
    <w:link w:val="Heading4"/>
    <w:rsid w:val="003B362C"/>
    <w:rPr>
      <w:b/>
      <w:sz w:val="23"/>
      <w:szCs w:val="22"/>
      <w:lang w:val="en-GB" w:eastAsia="en-GB"/>
    </w:rPr>
  </w:style>
  <w:style w:type="character" w:customStyle="1" w:styleId="Heading5Char">
    <w:name w:val="Heading 5 Char"/>
    <w:aliases w:val=" Side Char,Side Char"/>
    <w:basedOn w:val="DefaultParagraphFont"/>
    <w:link w:val="Heading5"/>
    <w:rsid w:val="003B362C"/>
    <w:rPr>
      <w:rFonts w:ascii="Times New Roman Bold" w:hAnsi="Times New Roman Bold"/>
      <w:b/>
      <w:sz w:val="23"/>
      <w:szCs w:val="22"/>
      <w:lang w:val="en-GB" w:eastAsia="en-GB"/>
    </w:rPr>
  </w:style>
  <w:style w:type="character" w:customStyle="1" w:styleId="Heading7Char">
    <w:name w:val="Heading 7 Char"/>
    <w:basedOn w:val="DefaultParagraphFont"/>
    <w:link w:val="Heading7"/>
    <w:rsid w:val="003B362C"/>
    <w:rPr>
      <w:rFonts w:ascii="Arial" w:hAnsi="Arial"/>
      <w:sz w:val="22"/>
      <w:szCs w:val="22"/>
      <w:lang w:val="en-GB" w:eastAsia="en-GB"/>
    </w:rPr>
  </w:style>
  <w:style w:type="character" w:customStyle="1" w:styleId="Heading9Char">
    <w:name w:val="Heading 9 Char"/>
    <w:basedOn w:val="DefaultParagraphFont"/>
    <w:link w:val="Heading9"/>
    <w:rsid w:val="003B362C"/>
    <w:rPr>
      <w:rFonts w:ascii="Arial" w:hAnsi="Arial"/>
      <w:i/>
      <w:sz w:val="18"/>
      <w:szCs w:val="22"/>
      <w:lang w:val="en-GB" w:eastAsia="en-GB"/>
    </w:rPr>
  </w:style>
  <w:style w:type="character" w:customStyle="1" w:styleId="APDroughtParaChar">
    <w:name w:val="AP_Drought_Para Char"/>
    <w:basedOn w:val="DefaultParagraphFont"/>
    <w:link w:val="APDroughtPara"/>
    <w:rsid w:val="000A6819"/>
    <w:rPr>
      <w:sz w:val="22"/>
      <w:szCs w:val="24"/>
      <w:lang w:val="en-US" w:eastAsia="en-US"/>
    </w:rPr>
  </w:style>
  <w:style w:type="paragraph" w:styleId="ListParagraph">
    <w:name w:val="List Paragraph"/>
    <w:basedOn w:val="Normal"/>
    <w:link w:val="ListParagraphChar"/>
    <w:uiPriority w:val="34"/>
    <w:qFormat/>
    <w:rsid w:val="002A6DCB"/>
    <w:pPr>
      <w:spacing w:after="200" w:line="276" w:lineRule="auto"/>
      <w:contextualSpacing/>
      <w:outlineLvl w:val="1"/>
    </w:pPr>
    <w:rPr>
      <w:rFonts w:ascii="Calibri" w:eastAsia="Calibri" w:hAnsi="Calibri"/>
      <w:szCs w:val="22"/>
      <w:lang w:eastAsia="en-US"/>
    </w:rPr>
  </w:style>
  <w:style w:type="numbering" w:customStyle="1" w:styleId="Style1">
    <w:name w:val="Style1"/>
    <w:rsid w:val="004D7C8D"/>
    <w:pPr>
      <w:numPr>
        <w:numId w:val="4"/>
      </w:numPr>
    </w:pPr>
  </w:style>
  <w:style w:type="character" w:styleId="CommentReference">
    <w:name w:val="annotation reference"/>
    <w:basedOn w:val="DefaultParagraphFont"/>
    <w:rsid w:val="009A3F00"/>
    <w:rPr>
      <w:sz w:val="16"/>
      <w:szCs w:val="16"/>
    </w:rPr>
  </w:style>
  <w:style w:type="paragraph" w:styleId="CommentText">
    <w:name w:val="annotation text"/>
    <w:basedOn w:val="Normal"/>
    <w:link w:val="CommentTextChar"/>
    <w:rsid w:val="009A3F00"/>
    <w:rPr>
      <w:sz w:val="20"/>
      <w:szCs w:val="20"/>
    </w:rPr>
  </w:style>
  <w:style w:type="character" w:customStyle="1" w:styleId="CommentTextChar">
    <w:name w:val="Comment Text Char"/>
    <w:basedOn w:val="DefaultParagraphFont"/>
    <w:link w:val="CommentText"/>
    <w:rsid w:val="009A3F00"/>
    <w:rPr>
      <w:rFonts w:eastAsia="MS Mincho"/>
      <w:lang w:val="en-US" w:eastAsia="ja-JP"/>
    </w:rPr>
  </w:style>
  <w:style w:type="paragraph" w:styleId="CommentSubject">
    <w:name w:val="annotation subject"/>
    <w:basedOn w:val="CommentText"/>
    <w:next w:val="CommentText"/>
    <w:link w:val="CommentSubjectChar"/>
    <w:rsid w:val="009A3F00"/>
    <w:rPr>
      <w:b/>
      <w:bCs/>
    </w:rPr>
  </w:style>
  <w:style w:type="character" w:customStyle="1" w:styleId="CommentSubjectChar">
    <w:name w:val="Comment Subject Char"/>
    <w:basedOn w:val="CommentTextChar"/>
    <w:link w:val="CommentSubject"/>
    <w:rsid w:val="009A3F00"/>
    <w:rPr>
      <w:rFonts w:eastAsia="MS Mincho"/>
      <w:b/>
      <w:bCs/>
      <w:lang w:val="en-US" w:eastAsia="ja-JP"/>
    </w:rPr>
  </w:style>
  <w:style w:type="paragraph" w:customStyle="1" w:styleId="parrafosworldbank">
    <w:name w:val="parrafos worldbank"/>
    <w:basedOn w:val="Normal"/>
    <w:rsid w:val="003C5324"/>
    <w:pPr>
      <w:spacing w:after="0" w:line="360" w:lineRule="auto"/>
      <w:ind w:left="-720" w:firstLine="720"/>
    </w:pPr>
    <w:rPr>
      <w:rFonts w:ascii="Arial" w:eastAsia="Times New Roman" w:hAnsi="Arial" w:cs="Arial"/>
      <w:szCs w:val="22"/>
      <w:lang w:val="en-GB" w:eastAsia="es-ES"/>
    </w:rPr>
  </w:style>
  <w:style w:type="paragraph" w:customStyle="1" w:styleId="figurasinforworldbank">
    <w:name w:val="figuras infor world bank"/>
    <w:basedOn w:val="Normal"/>
    <w:rsid w:val="003C5324"/>
    <w:pPr>
      <w:autoSpaceDE w:val="0"/>
      <w:autoSpaceDN w:val="0"/>
      <w:adjustRightInd w:val="0"/>
      <w:spacing w:after="0" w:line="360" w:lineRule="auto"/>
      <w:ind w:left="-720"/>
      <w:jc w:val="left"/>
    </w:pPr>
    <w:rPr>
      <w:rFonts w:ascii="Arial" w:eastAsia="Times New Roman" w:hAnsi="Arial" w:cs="Arial"/>
      <w:b/>
      <w:sz w:val="20"/>
      <w:szCs w:val="20"/>
      <w:lang w:val="en-GB" w:eastAsia="es-ES"/>
    </w:rPr>
  </w:style>
  <w:style w:type="paragraph" w:styleId="NormalWeb">
    <w:name w:val="Normal (Web)"/>
    <w:basedOn w:val="Normal"/>
    <w:uiPriority w:val="99"/>
    <w:rsid w:val="003C5324"/>
    <w:pPr>
      <w:spacing w:before="100" w:beforeAutospacing="1" w:after="100" w:afterAutospacing="1"/>
      <w:jc w:val="left"/>
    </w:pPr>
    <w:rPr>
      <w:rFonts w:eastAsia="Times New Roman"/>
      <w:lang w:val="es-ES" w:eastAsia="es-ES"/>
    </w:rPr>
  </w:style>
  <w:style w:type="character" w:customStyle="1" w:styleId="Heading1Char">
    <w:name w:val="Heading 1 Char"/>
    <w:basedOn w:val="DefaultParagraphFont"/>
    <w:link w:val="Heading1"/>
    <w:rsid w:val="009F2634"/>
    <w:rPr>
      <w:rFonts w:cs="Arial"/>
      <w:b/>
      <w:bCs/>
      <w:kern w:val="32"/>
      <w:sz w:val="32"/>
      <w:szCs w:val="32"/>
      <w:lang w:val="en-US" w:eastAsia="en-US"/>
    </w:rPr>
  </w:style>
  <w:style w:type="character" w:customStyle="1" w:styleId="Heading6Char">
    <w:name w:val="Heading 6 Char"/>
    <w:basedOn w:val="DefaultParagraphFont"/>
    <w:link w:val="Heading6"/>
    <w:rsid w:val="00853A41"/>
    <w:rPr>
      <w:rFonts w:eastAsia="MS Mincho"/>
      <w:b/>
      <w:bCs/>
      <w:sz w:val="22"/>
      <w:szCs w:val="22"/>
      <w:lang w:val="en-US" w:eastAsia="ja-JP"/>
    </w:rPr>
  </w:style>
  <w:style w:type="character" w:customStyle="1" w:styleId="Heading8Char">
    <w:name w:val="Heading 8 Char"/>
    <w:basedOn w:val="DefaultParagraphFont"/>
    <w:link w:val="Heading8"/>
    <w:rsid w:val="00853A41"/>
    <w:rPr>
      <w:rFonts w:eastAsia="MS Mincho"/>
      <w:b/>
      <w:sz w:val="36"/>
      <w:szCs w:val="36"/>
      <w:lang w:val="en-US" w:eastAsia="ja-JP"/>
    </w:rPr>
  </w:style>
  <w:style w:type="character" w:customStyle="1" w:styleId="BalloonTextChar">
    <w:name w:val="Balloon Text Char"/>
    <w:basedOn w:val="DefaultParagraphFont"/>
    <w:link w:val="BalloonText"/>
    <w:rsid w:val="00853A41"/>
    <w:rPr>
      <w:rFonts w:ascii="Tahoma" w:eastAsia="MS Mincho" w:hAnsi="Tahoma" w:cs="Tahoma"/>
      <w:sz w:val="16"/>
      <w:szCs w:val="16"/>
      <w:lang w:val="en-US" w:eastAsia="ja-JP"/>
    </w:rPr>
  </w:style>
  <w:style w:type="character" w:styleId="Emphasis">
    <w:name w:val="Emphasis"/>
    <w:basedOn w:val="DefaultParagraphFont"/>
    <w:uiPriority w:val="20"/>
    <w:qFormat/>
    <w:rsid w:val="00C92BA4"/>
    <w:rPr>
      <w:i/>
      <w:iCs/>
    </w:rPr>
  </w:style>
  <w:style w:type="paragraph" w:customStyle="1" w:styleId="Style2">
    <w:name w:val="Style2"/>
    <w:basedOn w:val="APSubheading"/>
    <w:link w:val="Style2Char"/>
    <w:rsid w:val="00621F13"/>
    <w:rPr>
      <w:b/>
      <w:szCs w:val="28"/>
    </w:rPr>
  </w:style>
  <w:style w:type="character" w:customStyle="1" w:styleId="longtext">
    <w:name w:val="long_text"/>
    <w:basedOn w:val="DefaultParagraphFont"/>
    <w:uiPriority w:val="99"/>
    <w:rsid w:val="007754D4"/>
  </w:style>
  <w:style w:type="character" w:customStyle="1" w:styleId="APSubheadingChar">
    <w:name w:val="AP_Subheading Char"/>
    <w:basedOn w:val="APDroughtParaChar"/>
    <w:link w:val="APSubheading"/>
    <w:rsid w:val="00621F13"/>
    <w:rPr>
      <w:sz w:val="28"/>
      <w:szCs w:val="24"/>
      <w:lang w:val="en-US" w:eastAsia="en-US"/>
    </w:rPr>
  </w:style>
  <w:style w:type="character" w:customStyle="1" w:styleId="Style2Char">
    <w:name w:val="Style2 Char"/>
    <w:basedOn w:val="APSubheadingChar"/>
    <w:link w:val="Style2"/>
    <w:rsid w:val="00621F13"/>
    <w:rPr>
      <w:b/>
      <w:sz w:val="28"/>
      <w:szCs w:val="28"/>
      <w:lang w:val="en-US" w:eastAsia="en-US"/>
    </w:rPr>
  </w:style>
  <w:style w:type="paragraph" w:styleId="Revision">
    <w:name w:val="Revision"/>
    <w:hidden/>
    <w:uiPriority w:val="99"/>
    <w:semiHidden/>
    <w:rsid w:val="00DF3794"/>
    <w:rPr>
      <w:rFonts w:eastAsia="MS Mincho"/>
      <w:sz w:val="24"/>
      <w:szCs w:val="24"/>
      <w:lang w:val="en-US" w:eastAsia="ja-JP"/>
    </w:rPr>
  </w:style>
  <w:style w:type="character" w:customStyle="1" w:styleId="HeaderChar">
    <w:name w:val="Header Char"/>
    <w:basedOn w:val="DefaultParagraphFont"/>
    <w:link w:val="Header"/>
    <w:uiPriority w:val="99"/>
    <w:rsid w:val="0039157C"/>
    <w:rPr>
      <w:rFonts w:eastAsia="MS Mincho"/>
      <w:sz w:val="24"/>
      <w:szCs w:val="24"/>
      <w:lang w:val="en-US" w:eastAsia="ja-JP"/>
    </w:rPr>
  </w:style>
  <w:style w:type="character" w:customStyle="1" w:styleId="FooterChar">
    <w:name w:val="Footer Char"/>
    <w:basedOn w:val="DefaultParagraphFont"/>
    <w:link w:val="Footer"/>
    <w:uiPriority w:val="99"/>
    <w:rsid w:val="0039157C"/>
    <w:rPr>
      <w:rFonts w:eastAsia="MS Mincho"/>
      <w:sz w:val="24"/>
      <w:szCs w:val="24"/>
      <w:lang w:val="en-US" w:eastAsia="ja-JP"/>
    </w:rPr>
  </w:style>
  <w:style w:type="numbering" w:customStyle="1" w:styleId="Estilo1">
    <w:name w:val="Estilo1"/>
    <w:uiPriority w:val="99"/>
    <w:rsid w:val="009E6ABB"/>
    <w:pPr>
      <w:numPr>
        <w:numId w:val="8"/>
      </w:numPr>
    </w:pPr>
  </w:style>
  <w:style w:type="paragraph" w:customStyle="1" w:styleId="WB">
    <w:name w:val="WB"/>
    <w:basedOn w:val="Title"/>
    <w:link w:val="WBCar"/>
    <w:qFormat/>
    <w:rsid w:val="00B6022D"/>
    <w:pPr>
      <w:numPr>
        <w:ilvl w:val="2"/>
        <w:numId w:val="18"/>
      </w:numPr>
      <w:jc w:val="both"/>
    </w:pPr>
    <w:rPr>
      <w:b w:val="0"/>
      <w:sz w:val="22"/>
    </w:rPr>
  </w:style>
  <w:style w:type="character" w:customStyle="1" w:styleId="ListParagraphChar">
    <w:name w:val="List Paragraph Char"/>
    <w:basedOn w:val="DefaultParagraphFont"/>
    <w:link w:val="ListParagraph"/>
    <w:uiPriority w:val="34"/>
    <w:rsid w:val="002A6DCB"/>
    <w:rPr>
      <w:rFonts w:ascii="Calibri" w:eastAsia="Calibri" w:hAnsi="Calibri"/>
      <w:sz w:val="22"/>
      <w:szCs w:val="22"/>
      <w:lang w:val="en-US" w:eastAsia="en-US"/>
    </w:rPr>
  </w:style>
  <w:style w:type="character" w:customStyle="1" w:styleId="WBCar">
    <w:name w:val="WB Car"/>
    <w:basedOn w:val="ListParagraphChar"/>
    <w:link w:val="WB"/>
    <w:rsid w:val="00B6022D"/>
    <w:rPr>
      <w:rFonts w:ascii="Calibri" w:eastAsia="Calibri" w:hAnsi="Calibri"/>
      <w:bCs/>
      <w:sz w:val="22"/>
      <w:szCs w:val="22"/>
      <w:lang w:val="en-US" w:eastAsia="en-US"/>
    </w:rPr>
  </w:style>
  <w:style w:type="paragraph" w:styleId="Subtitle">
    <w:name w:val="Subtitle"/>
    <w:basedOn w:val="Normal"/>
    <w:next w:val="Normal"/>
    <w:link w:val="SubtitleChar"/>
    <w:qFormat/>
    <w:rsid w:val="00B6022D"/>
    <w:pPr>
      <w:numPr>
        <w:ilvl w:val="1"/>
        <w:numId w:val="19"/>
      </w:numPr>
    </w:pPr>
    <w:rPr>
      <w:rFonts w:eastAsiaTheme="majorEastAsia" w:cstheme="majorBidi"/>
      <w:b/>
      <w:iCs/>
      <w:sz w:val="24"/>
    </w:rPr>
  </w:style>
  <w:style w:type="character" w:customStyle="1" w:styleId="SubtitleChar">
    <w:name w:val="Subtitle Char"/>
    <w:basedOn w:val="DefaultParagraphFont"/>
    <w:link w:val="Subtitle"/>
    <w:rsid w:val="00B6022D"/>
    <w:rPr>
      <w:rFonts w:eastAsiaTheme="majorEastAsia" w:cstheme="majorBidi"/>
      <w:b/>
      <w:iCs/>
      <w:sz w:val="24"/>
      <w:szCs w:val="24"/>
      <w:lang w:val="en-US" w:eastAsia="ja-JP"/>
    </w:rPr>
  </w:style>
  <w:style w:type="paragraph" w:styleId="TOCHeading">
    <w:name w:val="TOC Heading"/>
    <w:basedOn w:val="Heading1"/>
    <w:next w:val="Normal"/>
    <w:uiPriority w:val="39"/>
    <w:unhideWhenUsed/>
    <w:qFormat/>
    <w:rsid w:val="0071152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OC3">
    <w:name w:val="toc 3"/>
    <w:basedOn w:val="Normal"/>
    <w:next w:val="Normal"/>
    <w:autoRedefine/>
    <w:uiPriority w:val="39"/>
    <w:qFormat/>
    <w:rsid w:val="0071152C"/>
    <w:pPr>
      <w:spacing w:after="100"/>
      <w:ind w:left="480"/>
    </w:pPr>
  </w:style>
  <w:style w:type="paragraph" w:styleId="TOC4">
    <w:name w:val="toc 4"/>
    <w:basedOn w:val="Normal"/>
    <w:next w:val="Normal"/>
    <w:autoRedefine/>
    <w:uiPriority w:val="39"/>
    <w:unhideWhenUsed/>
    <w:rsid w:val="0071152C"/>
    <w:pPr>
      <w:spacing w:after="100" w:line="276" w:lineRule="auto"/>
      <w:ind w:left="660"/>
      <w:jc w:val="left"/>
    </w:pPr>
    <w:rPr>
      <w:rFonts w:asciiTheme="minorHAnsi" w:eastAsiaTheme="minorEastAsia" w:hAnsiTheme="minorHAnsi" w:cstheme="minorBidi"/>
      <w:szCs w:val="22"/>
      <w:lang w:val="es-AR" w:eastAsia="es-AR"/>
    </w:rPr>
  </w:style>
  <w:style w:type="paragraph" w:styleId="TOC5">
    <w:name w:val="toc 5"/>
    <w:basedOn w:val="Normal"/>
    <w:next w:val="Normal"/>
    <w:autoRedefine/>
    <w:uiPriority w:val="39"/>
    <w:unhideWhenUsed/>
    <w:rsid w:val="0071152C"/>
    <w:pPr>
      <w:spacing w:after="100" w:line="276" w:lineRule="auto"/>
      <w:ind w:left="880"/>
      <w:jc w:val="left"/>
    </w:pPr>
    <w:rPr>
      <w:rFonts w:asciiTheme="minorHAnsi" w:eastAsiaTheme="minorEastAsia" w:hAnsiTheme="minorHAnsi" w:cstheme="minorBidi"/>
      <w:szCs w:val="22"/>
      <w:lang w:val="es-AR" w:eastAsia="es-AR"/>
    </w:rPr>
  </w:style>
  <w:style w:type="paragraph" w:styleId="TOC6">
    <w:name w:val="toc 6"/>
    <w:basedOn w:val="Normal"/>
    <w:next w:val="Normal"/>
    <w:autoRedefine/>
    <w:uiPriority w:val="39"/>
    <w:unhideWhenUsed/>
    <w:rsid w:val="0071152C"/>
    <w:pPr>
      <w:spacing w:after="100" w:line="276" w:lineRule="auto"/>
      <w:ind w:left="1100"/>
      <w:jc w:val="left"/>
    </w:pPr>
    <w:rPr>
      <w:rFonts w:asciiTheme="minorHAnsi" w:eastAsiaTheme="minorEastAsia" w:hAnsiTheme="minorHAnsi" w:cstheme="minorBidi"/>
      <w:szCs w:val="22"/>
      <w:lang w:val="es-AR" w:eastAsia="es-AR"/>
    </w:rPr>
  </w:style>
  <w:style w:type="paragraph" w:styleId="TOC7">
    <w:name w:val="toc 7"/>
    <w:basedOn w:val="Normal"/>
    <w:next w:val="Normal"/>
    <w:autoRedefine/>
    <w:uiPriority w:val="39"/>
    <w:unhideWhenUsed/>
    <w:rsid w:val="0071152C"/>
    <w:pPr>
      <w:spacing w:after="100" w:line="276" w:lineRule="auto"/>
      <w:ind w:left="1320"/>
      <w:jc w:val="left"/>
    </w:pPr>
    <w:rPr>
      <w:rFonts w:asciiTheme="minorHAnsi" w:eastAsiaTheme="minorEastAsia" w:hAnsiTheme="minorHAnsi" w:cstheme="minorBidi"/>
      <w:szCs w:val="22"/>
      <w:lang w:val="es-AR" w:eastAsia="es-AR"/>
    </w:rPr>
  </w:style>
  <w:style w:type="paragraph" w:styleId="TOC8">
    <w:name w:val="toc 8"/>
    <w:basedOn w:val="Normal"/>
    <w:next w:val="Normal"/>
    <w:autoRedefine/>
    <w:uiPriority w:val="39"/>
    <w:unhideWhenUsed/>
    <w:rsid w:val="0071152C"/>
    <w:pPr>
      <w:spacing w:after="100" w:line="276" w:lineRule="auto"/>
      <w:ind w:left="1540"/>
      <w:jc w:val="left"/>
    </w:pPr>
    <w:rPr>
      <w:rFonts w:asciiTheme="minorHAnsi" w:eastAsiaTheme="minorEastAsia" w:hAnsiTheme="minorHAnsi" w:cstheme="minorBidi"/>
      <w:szCs w:val="22"/>
      <w:lang w:val="es-AR" w:eastAsia="es-AR"/>
    </w:rPr>
  </w:style>
  <w:style w:type="paragraph" w:styleId="TOC9">
    <w:name w:val="toc 9"/>
    <w:basedOn w:val="Normal"/>
    <w:next w:val="Normal"/>
    <w:autoRedefine/>
    <w:uiPriority w:val="39"/>
    <w:unhideWhenUsed/>
    <w:rsid w:val="0071152C"/>
    <w:pPr>
      <w:spacing w:after="100" w:line="276" w:lineRule="auto"/>
      <w:ind w:left="1760"/>
      <w:jc w:val="left"/>
    </w:pPr>
    <w:rPr>
      <w:rFonts w:asciiTheme="minorHAnsi" w:eastAsiaTheme="minorEastAsia" w:hAnsiTheme="minorHAnsi" w:cstheme="minorBidi"/>
      <w:szCs w:val="22"/>
      <w:lang w:val="es-AR" w:eastAsia="es-AR"/>
    </w:rPr>
  </w:style>
  <w:style w:type="paragraph" w:customStyle="1" w:styleId="HeadFiguresTablesBoxes">
    <w:name w:val="Head_FiguresTablesBoxes"/>
    <w:basedOn w:val="Normal"/>
    <w:link w:val="FigurasyTablasCar"/>
    <w:qFormat/>
    <w:rsid w:val="00EF4AC4"/>
    <w:pPr>
      <w:spacing w:before="240" w:after="120"/>
    </w:pPr>
    <w:rPr>
      <w:b/>
      <w:szCs w:val="22"/>
    </w:rPr>
  </w:style>
  <w:style w:type="paragraph" w:customStyle="1" w:styleId="BoxContent">
    <w:name w:val="BoxContent"/>
    <w:basedOn w:val="Normal"/>
    <w:rsid w:val="00D96CBA"/>
    <w:pPr>
      <w:pBdr>
        <w:top w:val="single" w:sz="4" w:space="1" w:color="auto"/>
        <w:left w:val="single" w:sz="4" w:space="4" w:color="auto"/>
        <w:bottom w:val="single" w:sz="4" w:space="1" w:color="auto"/>
        <w:right w:val="single" w:sz="4" w:space="4" w:color="auto"/>
      </w:pBdr>
      <w:shd w:val="clear" w:color="auto" w:fill="D9D9D9"/>
    </w:pPr>
    <w:rPr>
      <w:rFonts w:eastAsia="Times New Roman"/>
      <w:sz w:val="20"/>
      <w:szCs w:val="20"/>
    </w:rPr>
  </w:style>
  <w:style w:type="character" w:customStyle="1" w:styleId="APdroughtChapterCar">
    <w:name w:val="AP_drought_Chapter Car"/>
    <w:basedOn w:val="HeaderChar"/>
    <w:link w:val="APdroughtChapter"/>
    <w:rsid w:val="00D96CE8"/>
    <w:rPr>
      <w:rFonts w:eastAsia="MS Mincho"/>
      <w:b/>
      <w:sz w:val="32"/>
      <w:szCs w:val="32"/>
      <w:lang w:val="en-US" w:eastAsia="ja-JP"/>
    </w:rPr>
  </w:style>
  <w:style w:type="character" w:customStyle="1" w:styleId="FigurasyTablasCar">
    <w:name w:val="Figuras y Tablas Car"/>
    <w:basedOn w:val="APdroughtChapterCar"/>
    <w:link w:val="HeadFiguresTablesBoxes"/>
    <w:rsid w:val="00D96CE8"/>
    <w:rPr>
      <w:rFonts w:eastAsia="MS Mincho"/>
      <w:b/>
      <w:sz w:val="32"/>
      <w:szCs w:val="32"/>
      <w:lang w:val="en-US" w:eastAsia="ja-JP"/>
    </w:rPr>
  </w:style>
  <w:style w:type="paragraph" w:customStyle="1" w:styleId="Source">
    <w:name w:val="Source"/>
    <w:basedOn w:val="Normal"/>
    <w:next w:val="WB"/>
    <w:link w:val="SourceCar"/>
    <w:qFormat/>
    <w:rsid w:val="000E35EC"/>
    <w:pPr>
      <w:spacing w:after="360"/>
    </w:pPr>
    <w:rPr>
      <w:sz w:val="20"/>
      <w:szCs w:val="20"/>
    </w:rPr>
  </w:style>
  <w:style w:type="character" w:customStyle="1" w:styleId="SourceCar">
    <w:name w:val="Source Car"/>
    <w:basedOn w:val="DefaultParagraphFont"/>
    <w:link w:val="Source"/>
    <w:rsid w:val="000E35EC"/>
    <w:rPr>
      <w:rFonts w:eastAsia="MS Mincho"/>
      <w:lang w:val="en-US" w:eastAsia="ja-JP"/>
    </w:rPr>
  </w:style>
  <w:style w:type="character" w:styleId="FollowedHyperlink">
    <w:name w:val="FollowedHyperlink"/>
    <w:basedOn w:val="DefaultParagraphFont"/>
    <w:rsid w:val="002F20E2"/>
    <w:rPr>
      <w:color w:val="800080" w:themeColor="followedHyperlink"/>
      <w:u w:val="single"/>
    </w:rPr>
  </w:style>
  <w:style w:type="character" w:customStyle="1" w:styleId="a">
    <w:name w:val="a"/>
    <w:basedOn w:val="DefaultParagraphFont"/>
    <w:rsid w:val="00D96FE8"/>
  </w:style>
  <w:style w:type="character" w:customStyle="1" w:styleId="w1">
    <w:name w:val="w1"/>
    <w:basedOn w:val="DefaultParagraphFont"/>
    <w:rsid w:val="00D96FE8"/>
    <w:rPr>
      <w:color w:val="0000CC"/>
    </w:rPr>
  </w:style>
  <w:style w:type="paragraph" w:customStyle="1" w:styleId="Default">
    <w:name w:val="Default"/>
    <w:rsid w:val="00D96FE8"/>
    <w:pPr>
      <w:autoSpaceDE w:val="0"/>
      <w:autoSpaceDN w:val="0"/>
      <w:adjustRightInd w:val="0"/>
    </w:pPr>
    <w:rPr>
      <w:color w:val="000000"/>
      <w:sz w:val="24"/>
      <w:szCs w:val="24"/>
      <w:lang w:val="es-ES" w:eastAsia="es-ES"/>
    </w:rPr>
  </w:style>
  <w:style w:type="character" w:customStyle="1" w:styleId="apple-style-span">
    <w:name w:val="apple-style-span"/>
    <w:basedOn w:val="DefaultParagraphFont"/>
    <w:rsid w:val="00D96FE8"/>
  </w:style>
  <w:style w:type="paragraph" w:styleId="BodyTextIndent2">
    <w:name w:val="Body Text Indent 2"/>
    <w:basedOn w:val="Normal"/>
    <w:link w:val="BodyTextIndent2Char"/>
    <w:rsid w:val="00D96FE8"/>
    <w:pPr>
      <w:widowControl w:val="0"/>
      <w:spacing w:before="60" w:after="0"/>
      <w:ind w:firstLine="709"/>
    </w:pPr>
    <w:rPr>
      <w:rFonts w:ascii="Arial" w:eastAsia="Times New Roman" w:hAnsi="Arial"/>
      <w:szCs w:val="20"/>
      <w:lang w:val="es-ES_tradnl" w:eastAsia="es-ES"/>
    </w:rPr>
  </w:style>
  <w:style w:type="character" w:customStyle="1" w:styleId="BodyTextIndent2Char">
    <w:name w:val="Body Text Indent 2 Char"/>
    <w:basedOn w:val="DefaultParagraphFont"/>
    <w:link w:val="BodyTextIndent2"/>
    <w:rsid w:val="00D96FE8"/>
    <w:rPr>
      <w:rFonts w:ascii="Arial" w:hAnsi="Arial"/>
      <w:sz w:val="22"/>
      <w:lang w:val="es-ES_tradnl" w:eastAsia="es-ES"/>
    </w:rPr>
  </w:style>
  <w:style w:type="character" w:styleId="PlaceholderText">
    <w:name w:val="Placeholder Text"/>
    <w:basedOn w:val="DefaultParagraphFont"/>
    <w:uiPriority w:val="99"/>
    <w:semiHidden/>
    <w:rsid w:val="00D96FE8"/>
    <w:rPr>
      <w:color w:val="808080"/>
    </w:rPr>
  </w:style>
  <w:style w:type="paragraph" w:styleId="EndnoteText">
    <w:name w:val="endnote text"/>
    <w:basedOn w:val="Normal"/>
    <w:link w:val="EndnoteTextChar"/>
    <w:rsid w:val="00D96FE8"/>
    <w:pPr>
      <w:spacing w:before="60" w:after="0"/>
      <w:ind w:firstLine="567"/>
    </w:pPr>
    <w:rPr>
      <w:rFonts w:eastAsia="Times New Roman"/>
      <w:sz w:val="20"/>
      <w:szCs w:val="20"/>
      <w:lang w:val="es-ES" w:eastAsia="es-ES"/>
    </w:rPr>
  </w:style>
  <w:style w:type="character" w:customStyle="1" w:styleId="EndnoteTextChar">
    <w:name w:val="Endnote Text Char"/>
    <w:basedOn w:val="DefaultParagraphFont"/>
    <w:link w:val="EndnoteText"/>
    <w:rsid w:val="00D96FE8"/>
    <w:rPr>
      <w:lang w:val="es-ES" w:eastAsia="es-ES"/>
    </w:rPr>
  </w:style>
  <w:style w:type="character" w:styleId="EndnoteReference">
    <w:name w:val="endnote reference"/>
    <w:basedOn w:val="DefaultParagraphFont"/>
    <w:rsid w:val="00D96FE8"/>
    <w:rPr>
      <w:vertAlign w:val="superscript"/>
    </w:rPr>
  </w:style>
  <w:style w:type="paragraph" w:customStyle="1" w:styleId="WBReport">
    <w:name w:val="WB_Report"/>
    <w:basedOn w:val="Normal"/>
    <w:link w:val="WBReportCar"/>
    <w:qFormat/>
    <w:rsid w:val="00764792"/>
    <w:pPr>
      <w:widowControl w:val="0"/>
      <w:numPr>
        <w:ilvl w:val="2"/>
        <w:numId w:val="19"/>
      </w:numPr>
    </w:pPr>
  </w:style>
  <w:style w:type="character" w:customStyle="1" w:styleId="WBReportCar">
    <w:name w:val="WB_Report Car"/>
    <w:basedOn w:val="DefaultParagraphFont"/>
    <w:link w:val="WBReport"/>
    <w:rsid w:val="00764792"/>
    <w:rPr>
      <w:rFonts w:eastAsia="MS Mincho"/>
      <w:sz w:val="22"/>
      <w:szCs w:val="24"/>
      <w:lang w:val="en-US" w:eastAsia="ja-JP"/>
    </w:rPr>
  </w:style>
</w:styles>
</file>

<file path=word/webSettings.xml><?xml version="1.0" encoding="utf-8"?>
<w:webSettings xmlns:r="http://schemas.openxmlformats.org/officeDocument/2006/relationships" xmlns:w="http://schemas.openxmlformats.org/wordprocessingml/2006/main">
  <w:divs>
    <w:div w:id="60173820">
      <w:bodyDiv w:val="1"/>
      <w:marLeft w:val="0"/>
      <w:marRight w:val="0"/>
      <w:marTop w:val="0"/>
      <w:marBottom w:val="0"/>
      <w:divBdr>
        <w:top w:val="none" w:sz="0" w:space="0" w:color="auto"/>
        <w:left w:val="none" w:sz="0" w:space="0" w:color="auto"/>
        <w:bottom w:val="none" w:sz="0" w:space="0" w:color="auto"/>
        <w:right w:val="none" w:sz="0" w:space="0" w:color="auto"/>
      </w:divBdr>
      <w:divsChild>
        <w:div w:id="1763454365">
          <w:marLeft w:val="0"/>
          <w:marRight w:val="0"/>
          <w:marTop w:val="0"/>
          <w:marBottom w:val="0"/>
          <w:divBdr>
            <w:top w:val="none" w:sz="0" w:space="0" w:color="auto"/>
            <w:left w:val="none" w:sz="0" w:space="0" w:color="auto"/>
            <w:bottom w:val="none" w:sz="0" w:space="0" w:color="auto"/>
            <w:right w:val="none" w:sz="0" w:space="0" w:color="auto"/>
          </w:divBdr>
          <w:divsChild>
            <w:div w:id="452021493">
              <w:marLeft w:val="0"/>
              <w:marRight w:val="0"/>
              <w:marTop w:val="0"/>
              <w:marBottom w:val="0"/>
              <w:divBdr>
                <w:top w:val="none" w:sz="0" w:space="0" w:color="auto"/>
                <w:left w:val="none" w:sz="0" w:space="0" w:color="auto"/>
                <w:bottom w:val="none" w:sz="0" w:space="0" w:color="auto"/>
                <w:right w:val="none" w:sz="0" w:space="0" w:color="auto"/>
              </w:divBdr>
            </w:div>
            <w:div w:id="638001322">
              <w:marLeft w:val="0"/>
              <w:marRight w:val="0"/>
              <w:marTop w:val="0"/>
              <w:marBottom w:val="0"/>
              <w:divBdr>
                <w:top w:val="none" w:sz="0" w:space="0" w:color="auto"/>
                <w:left w:val="none" w:sz="0" w:space="0" w:color="auto"/>
                <w:bottom w:val="none" w:sz="0" w:space="0" w:color="auto"/>
                <w:right w:val="none" w:sz="0" w:space="0" w:color="auto"/>
              </w:divBdr>
            </w:div>
            <w:div w:id="648829789">
              <w:marLeft w:val="0"/>
              <w:marRight w:val="0"/>
              <w:marTop w:val="0"/>
              <w:marBottom w:val="0"/>
              <w:divBdr>
                <w:top w:val="none" w:sz="0" w:space="0" w:color="auto"/>
                <w:left w:val="none" w:sz="0" w:space="0" w:color="auto"/>
                <w:bottom w:val="none" w:sz="0" w:space="0" w:color="auto"/>
                <w:right w:val="none" w:sz="0" w:space="0" w:color="auto"/>
              </w:divBdr>
            </w:div>
            <w:div w:id="841237891">
              <w:marLeft w:val="0"/>
              <w:marRight w:val="0"/>
              <w:marTop w:val="0"/>
              <w:marBottom w:val="0"/>
              <w:divBdr>
                <w:top w:val="none" w:sz="0" w:space="0" w:color="auto"/>
                <w:left w:val="none" w:sz="0" w:space="0" w:color="auto"/>
                <w:bottom w:val="none" w:sz="0" w:space="0" w:color="auto"/>
                <w:right w:val="none" w:sz="0" w:space="0" w:color="auto"/>
              </w:divBdr>
            </w:div>
            <w:div w:id="970749305">
              <w:marLeft w:val="0"/>
              <w:marRight w:val="0"/>
              <w:marTop w:val="0"/>
              <w:marBottom w:val="0"/>
              <w:divBdr>
                <w:top w:val="none" w:sz="0" w:space="0" w:color="auto"/>
                <w:left w:val="none" w:sz="0" w:space="0" w:color="auto"/>
                <w:bottom w:val="none" w:sz="0" w:space="0" w:color="auto"/>
                <w:right w:val="none" w:sz="0" w:space="0" w:color="auto"/>
              </w:divBdr>
            </w:div>
            <w:div w:id="1283027816">
              <w:marLeft w:val="0"/>
              <w:marRight w:val="0"/>
              <w:marTop w:val="0"/>
              <w:marBottom w:val="0"/>
              <w:divBdr>
                <w:top w:val="none" w:sz="0" w:space="0" w:color="auto"/>
                <w:left w:val="none" w:sz="0" w:space="0" w:color="auto"/>
                <w:bottom w:val="none" w:sz="0" w:space="0" w:color="auto"/>
                <w:right w:val="none" w:sz="0" w:space="0" w:color="auto"/>
              </w:divBdr>
            </w:div>
            <w:div w:id="1428816605">
              <w:marLeft w:val="0"/>
              <w:marRight w:val="0"/>
              <w:marTop w:val="0"/>
              <w:marBottom w:val="0"/>
              <w:divBdr>
                <w:top w:val="none" w:sz="0" w:space="0" w:color="auto"/>
                <w:left w:val="none" w:sz="0" w:space="0" w:color="auto"/>
                <w:bottom w:val="none" w:sz="0" w:space="0" w:color="auto"/>
                <w:right w:val="none" w:sz="0" w:space="0" w:color="auto"/>
              </w:divBdr>
            </w:div>
            <w:div w:id="19978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5563">
      <w:bodyDiv w:val="1"/>
      <w:marLeft w:val="0"/>
      <w:marRight w:val="0"/>
      <w:marTop w:val="0"/>
      <w:marBottom w:val="0"/>
      <w:divBdr>
        <w:top w:val="none" w:sz="0" w:space="0" w:color="auto"/>
        <w:left w:val="none" w:sz="0" w:space="0" w:color="auto"/>
        <w:bottom w:val="none" w:sz="0" w:space="0" w:color="auto"/>
        <w:right w:val="none" w:sz="0" w:space="0" w:color="auto"/>
      </w:divBdr>
    </w:div>
    <w:div w:id="69817933">
      <w:bodyDiv w:val="1"/>
      <w:marLeft w:val="0"/>
      <w:marRight w:val="0"/>
      <w:marTop w:val="0"/>
      <w:marBottom w:val="0"/>
      <w:divBdr>
        <w:top w:val="none" w:sz="0" w:space="0" w:color="auto"/>
        <w:left w:val="none" w:sz="0" w:space="0" w:color="auto"/>
        <w:bottom w:val="none" w:sz="0" w:space="0" w:color="auto"/>
        <w:right w:val="none" w:sz="0" w:space="0" w:color="auto"/>
      </w:divBdr>
    </w:div>
    <w:div w:id="75371962">
      <w:bodyDiv w:val="1"/>
      <w:marLeft w:val="0"/>
      <w:marRight w:val="0"/>
      <w:marTop w:val="0"/>
      <w:marBottom w:val="0"/>
      <w:divBdr>
        <w:top w:val="none" w:sz="0" w:space="0" w:color="auto"/>
        <w:left w:val="none" w:sz="0" w:space="0" w:color="auto"/>
        <w:bottom w:val="none" w:sz="0" w:space="0" w:color="auto"/>
        <w:right w:val="none" w:sz="0" w:space="0" w:color="auto"/>
      </w:divBdr>
    </w:div>
    <w:div w:id="81265309">
      <w:bodyDiv w:val="1"/>
      <w:marLeft w:val="0"/>
      <w:marRight w:val="0"/>
      <w:marTop w:val="0"/>
      <w:marBottom w:val="0"/>
      <w:divBdr>
        <w:top w:val="none" w:sz="0" w:space="0" w:color="auto"/>
        <w:left w:val="none" w:sz="0" w:space="0" w:color="auto"/>
        <w:bottom w:val="none" w:sz="0" w:space="0" w:color="auto"/>
        <w:right w:val="none" w:sz="0" w:space="0" w:color="auto"/>
      </w:divBdr>
    </w:div>
    <w:div w:id="127282613">
      <w:bodyDiv w:val="1"/>
      <w:marLeft w:val="0"/>
      <w:marRight w:val="0"/>
      <w:marTop w:val="0"/>
      <w:marBottom w:val="0"/>
      <w:divBdr>
        <w:top w:val="none" w:sz="0" w:space="0" w:color="auto"/>
        <w:left w:val="none" w:sz="0" w:space="0" w:color="auto"/>
        <w:bottom w:val="none" w:sz="0" w:space="0" w:color="auto"/>
        <w:right w:val="none" w:sz="0" w:space="0" w:color="auto"/>
      </w:divBdr>
    </w:div>
    <w:div w:id="138428091">
      <w:bodyDiv w:val="1"/>
      <w:marLeft w:val="0"/>
      <w:marRight w:val="0"/>
      <w:marTop w:val="0"/>
      <w:marBottom w:val="0"/>
      <w:divBdr>
        <w:top w:val="none" w:sz="0" w:space="0" w:color="auto"/>
        <w:left w:val="none" w:sz="0" w:space="0" w:color="auto"/>
        <w:bottom w:val="none" w:sz="0" w:space="0" w:color="auto"/>
        <w:right w:val="none" w:sz="0" w:space="0" w:color="auto"/>
      </w:divBdr>
    </w:div>
    <w:div w:id="161704180">
      <w:bodyDiv w:val="1"/>
      <w:marLeft w:val="0"/>
      <w:marRight w:val="0"/>
      <w:marTop w:val="0"/>
      <w:marBottom w:val="0"/>
      <w:divBdr>
        <w:top w:val="none" w:sz="0" w:space="0" w:color="auto"/>
        <w:left w:val="none" w:sz="0" w:space="0" w:color="auto"/>
        <w:bottom w:val="none" w:sz="0" w:space="0" w:color="auto"/>
        <w:right w:val="none" w:sz="0" w:space="0" w:color="auto"/>
      </w:divBdr>
    </w:div>
    <w:div w:id="170414132">
      <w:bodyDiv w:val="1"/>
      <w:marLeft w:val="0"/>
      <w:marRight w:val="0"/>
      <w:marTop w:val="0"/>
      <w:marBottom w:val="0"/>
      <w:divBdr>
        <w:top w:val="none" w:sz="0" w:space="0" w:color="auto"/>
        <w:left w:val="none" w:sz="0" w:space="0" w:color="auto"/>
        <w:bottom w:val="none" w:sz="0" w:space="0" w:color="auto"/>
        <w:right w:val="none" w:sz="0" w:space="0" w:color="auto"/>
      </w:divBdr>
    </w:div>
    <w:div w:id="174078111">
      <w:bodyDiv w:val="1"/>
      <w:marLeft w:val="0"/>
      <w:marRight w:val="0"/>
      <w:marTop w:val="0"/>
      <w:marBottom w:val="0"/>
      <w:divBdr>
        <w:top w:val="none" w:sz="0" w:space="0" w:color="auto"/>
        <w:left w:val="none" w:sz="0" w:space="0" w:color="auto"/>
        <w:bottom w:val="none" w:sz="0" w:space="0" w:color="auto"/>
        <w:right w:val="none" w:sz="0" w:space="0" w:color="auto"/>
      </w:divBdr>
    </w:div>
    <w:div w:id="179634512">
      <w:bodyDiv w:val="1"/>
      <w:marLeft w:val="0"/>
      <w:marRight w:val="0"/>
      <w:marTop w:val="0"/>
      <w:marBottom w:val="0"/>
      <w:divBdr>
        <w:top w:val="none" w:sz="0" w:space="0" w:color="auto"/>
        <w:left w:val="none" w:sz="0" w:space="0" w:color="auto"/>
        <w:bottom w:val="none" w:sz="0" w:space="0" w:color="auto"/>
        <w:right w:val="none" w:sz="0" w:space="0" w:color="auto"/>
      </w:divBdr>
    </w:div>
    <w:div w:id="193232412">
      <w:bodyDiv w:val="1"/>
      <w:marLeft w:val="0"/>
      <w:marRight w:val="0"/>
      <w:marTop w:val="0"/>
      <w:marBottom w:val="0"/>
      <w:divBdr>
        <w:top w:val="none" w:sz="0" w:space="0" w:color="auto"/>
        <w:left w:val="none" w:sz="0" w:space="0" w:color="auto"/>
        <w:bottom w:val="none" w:sz="0" w:space="0" w:color="auto"/>
        <w:right w:val="none" w:sz="0" w:space="0" w:color="auto"/>
      </w:divBdr>
    </w:div>
    <w:div w:id="212087550">
      <w:bodyDiv w:val="1"/>
      <w:marLeft w:val="0"/>
      <w:marRight w:val="0"/>
      <w:marTop w:val="0"/>
      <w:marBottom w:val="0"/>
      <w:divBdr>
        <w:top w:val="none" w:sz="0" w:space="0" w:color="auto"/>
        <w:left w:val="none" w:sz="0" w:space="0" w:color="auto"/>
        <w:bottom w:val="none" w:sz="0" w:space="0" w:color="auto"/>
        <w:right w:val="none" w:sz="0" w:space="0" w:color="auto"/>
      </w:divBdr>
    </w:div>
    <w:div w:id="256864720">
      <w:bodyDiv w:val="1"/>
      <w:marLeft w:val="0"/>
      <w:marRight w:val="0"/>
      <w:marTop w:val="0"/>
      <w:marBottom w:val="0"/>
      <w:divBdr>
        <w:top w:val="none" w:sz="0" w:space="0" w:color="auto"/>
        <w:left w:val="none" w:sz="0" w:space="0" w:color="auto"/>
        <w:bottom w:val="none" w:sz="0" w:space="0" w:color="auto"/>
        <w:right w:val="none" w:sz="0" w:space="0" w:color="auto"/>
      </w:divBdr>
    </w:div>
    <w:div w:id="278995131">
      <w:bodyDiv w:val="1"/>
      <w:marLeft w:val="0"/>
      <w:marRight w:val="0"/>
      <w:marTop w:val="0"/>
      <w:marBottom w:val="0"/>
      <w:divBdr>
        <w:top w:val="none" w:sz="0" w:space="0" w:color="auto"/>
        <w:left w:val="none" w:sz="0" w:space="0" w:color="auto"/>
        <w:bottom w:val="none" w:sz="0" w:space="0" w:color="auto"/>
        <w:right w:val="none" w:sz="0" w:space="0" w:color="auto"/>
      </w:divBdr>
    </w:div>
    <w:div w:id="281612783">
      <w:bodyDiv w:val="1"/>
      <w:marLeft w:val="0"/>
      <w:marRight w:val="0"/>
      <w:marTop w:val="0"/>
      <w:marBottom w:val="0"/>
      <w:divBdr>
        <w:top w:val="none" w:sz="0" w:space="0" w:color="auto"/>
        <w:left w:val="none" w:sz="0" w:space="0" w:color="auto"/>
        <w:bottom w:val="none" w:sz="0" w:space="0" w:color="auto"/>
        <w:right w:val="none" w:sz="0" w:space="0" w:color="auto"/>
      </w:divBdr>
    </w:div>
    <w:div w:id="286860458">
      <w:bodyDiv w:val="1"/>
      <w:marLeft w:val="0"/>
      <w:marRight w:val="0"/>
      <w:marTop w:val="0"/>
      <w:marBottom w:val="0"/>
      <w:divBdr>
        <w:top w:val="none" w:sz="0" w:space="0" w:color="auto"/>
        <w:left w:val="none" w:sz="0" w:space="0" w:color="auto"/>
        <w:bottom w:val="none" w:sz="0" w:space="0" w:color="auto"/>
        <w:right w:val="none" w:sz="0" w:space="0" w:color="auto"/>
      </w:divBdr>
    </w:div>
    <w:div w:id="325477035">
      <w:bodyDiv w:val="1"/>
      <w:marLeft w:val="0"/>
      <w:marRight w:val="0"/>
      <w:marTop w:val="0"/>
      <w:marBottom w:val="0"/>
      <w:divBdr>
        <w:top w:val="none" w:sz="0" w:space="0" w:color="auto"/>
        <w:left w:val="none" w:sz="0" w:space="0" w:color="auto"/>
        <w:bottom w:val="none" w:sz="0" w:space="0" w:color="auto"/>
        <w:right w:val="none" w:sz="0" w:space="0" w:color="auto"/>
      </w:divBdr>
    </w:div>
    <w:div w:id="325789642">
      <w:bodyDiv w:val="1"/>
      <w:marLeft w:val="0"/>
      <w:marRight w:val="0"/>
      <w:marTop w:val="0"/>
      <w:marBottom w:val="0"/>
      <w:divBdr>
        <w:top w:val="none" w:sz="0" w:space="0" w:color="auto"/>
        <w:left w:val="none" w:sz="0" w:space="0" w:color="auto"/>
        <w:bottom w:val="none" w:sz="0" w:space="0" w:color="auto"/>
        <w:right w:val="none" w:sz="0" w:space="0" w:color="auto"/>
      </w:divBdr>
    </w:div>
    <w:div w:id="333992287">
      <w:bodyDiv w:val="1"/>
      <w:marLeft w:val="0"/>
      <w:marRight w:val="0"/>
      <w:marTop w:val="0"/>
      <w:marBottom w:val="0"/>
      <w:divBdr>
        <w:top w:val="none" w:sz="0" w:space="0" w:color="auto"/>
        <w:left w:val="none" w:sz="0" w:space="0" w:color="auto"/>
        <w:bottom w:val="none" w:sz="0" w:space="0" w:color="auto"/>
        <w:right w:val="none" w:sz="0" w:space="0" w:color="auto"/>
      </w:divBdr>
    </w:div>
    <w:div w:id="360471593">
      <w:bodyDiv w:val="1"/>
      <w:marLeft w:val="0"/>
      <w:marRight w:val="0"/>
      <w:marTop w:val="0"/>
      <w:marBottom w:val="0"/>
      <w:divBdr>
        <w:top w:val="none" w:sz="0" w:space="0" w:color="auto"/>
        <w:left w:val="none" w:sz="0" w:space="0" w:color="auto"/>
        <w:bottom w:val="none" w:sz="0" w:space="0" w:color="auto"/>
        <w:right w:val="none" w:sz="0" w:space="0" w:color="auto"/>
      </w:divBdr>
    </w:div>
    <w:div w:id="379405720">
      <w:bodyDiv w:val="1"/>
      <w:marLeft w:val="0"/>
      <w:marRight w:val="0"/>
      <w:marTop w:val="0"/>
      <w:marBottom w:val="0"/>
      <w:divBdr>
        <w:top w:val="none" w:sz="0" w:space="0" w:color="auto"/>
        <w:left w:val="none" w:sz="0" w:space="0" w:color="auto"/>
        <w:bottom w:val="none" w:sz="0" w:space="0" w:color="auto"/>
        <w:right w:val="none" w:sz="0" w:space="0" w:color="auto"/>
      </w:divBdr>
    </w:div>
    <w:div w:id="406534665">
      <w:bodyDiv w:val="1"/>
      <w:marLeft w:val="0"/>
      <w:marRight w:val="0"/>
      <w:marTop w:val="0"/>
      <w:marBottom w:val="0"/>
      <w:divBdr>
        <w:top w:val="none" w:sz="0" w:space="0" w:color="auto"/>
        <w:left w:val="none" w:sz="0" w:space="0" w:color="auto"/>
        <w:bottom w:val="none" w:sz="0" w:space="0" w:color="auto"/>
        <w:right w:val="none" w:sz="0" w:space="0" w:color="auto"/>
      </w:divBdr>
    </w:div>
    <w:div w:id="433676570">
      <w:bodyDiv w:val="1"/>
      <w:marLeft w:val="0"/>
      <w:marRight w:val="0"/>
      <w:marTop w:val="0"/>
      <w:marBottom w:val="0"/>
      <w:divBdr>
        <w:top w:val="none" w:sz="0" w:space="0" w:color="auto"/>
        <w:left w:val="none" w:sz="0" w:space="0" w:color="auto"/>
        <w:bottom w:val="none" w:sz="0" w:space="0" w:color="auto"/>
        <w:right w:val="none" w:sz="0" w:space="0" w:color="auto"/>
      </w:divBdr>
    </w:div>
    <w:div w:id="457838773">
      <w:bodyDiv w:val="1"/>
      <w:marLeft w:val="0"/>
      <w:marRight w:val="0"/>
      <w:marTop w:val="0"/>
      <w:marBottom w:val="0"/>
      <w:divBdr>
        <w:top w:val="none" w:sz="0" w:space="0" w:color="auto"/>
        <w:left w:val="none" w:sz="0" w:space="0" w:color="auto"/>
        <w:bottom w:val="none" w:sz="0" w:space="0" w:color="auto"/>
        <w:right w:val="none" w:sz="0" w:space="0" w:color="auto"/>
      </w:divBdr>
    </w:div>
    <w:div w:id="572202030">
      <w:bodyDiv w:val="1"/>
      <w:marLeft w:val="0"/>
      <w:marRight w:val="0"/>
      <w:marTop w:val="0"/>
      <w:marBottom w:val="0"/>
      <w:divBdr>
        <w:top w:val="none" w:sz="0" w:space="0" w:color="auto"/>
        <w:left w:val="none" w:sz="0" w:space="0" w:color="auto"/>
        <w:bottom w:val="none" w:sz="0" w:space="0" w:color="auto"/>
        <w:right w:val="none" w:sz="0" w:space="0" w:color="auto"/>
      </w:divBdr>
    </w:div>
    <w:div w:id="578370818">
      <w:bodyDiv w:val="1"/>
      <w:marLeft w:val="0"/>
      <w:marRight w:val="0"/>
      <w:marTop w:val="0"/>
      <w:marBottom w:val="0"/>
      <w:divBdr>
        <w:top w:val="none" w:sz="0" w:space="0" w:color="auto"/>
        <w:left w:val="none" w:sz="0" w:space="0" w:color="auto"/>
        <w:bottom w:val="none" w:sz="0" w:space="0" w:color="auto"/>
        <w:right w:val="none" w:sz="0" w:space="0" w:color="auto"/>
      </w:divBdr>
    </w:div>
    <w:div w:id="619806076">
      <w:bodyDiv w:val="1"/>
      <w:marLeft w:val="0"/>
      <w:marRight w:val="0"/>
      <w:marTop w:val="0"/>
      <w:marBottom w:val="0"/>
      <w:divBdr>
        <w:top w:val="none" w:sz="0" w:space="0" w:color="auto"/>
        <w:left w:val="none" w:sz="0" w:space="0" w:color="auto"/>
        <w:bottom w:val="none" w:sz="0" w:space="0" w:color="auto"/>
        <w:right w:val="none" w:sz="0" w:space="0" w:color="auto"/>
      </w:divBdr>
    </w:div>
    <w:div w:id="621308886">
      <w:bodyDiv w:val="1"/>
      <w:marLeft w:val="0"/>
      <w:marRight w:val="0"/>
      <w:marTop w:val="0"/>
      <w:marBottom w:val="0"/>
      <w:divBdr>
        <w:top w:val="none" w:sz="0" w:space="0" w:color="auto"/>
        <w:left w:val="none" w:sz="0" w:space="0" w:color="auto"/>
        <w:bottom w:val="none" w:sz="0" w:space="0" w:color="auto"/>
        <w:right w:val="none" w:sz="0" w:space="0" w:color="auto"/>
      </w:divBdr>
    </w:div>
    <w:div w:id="629482925">
      <w:bodyDiv w:val="1"/>
      <w:marLeft w:val="0"/>
      <w:marRight w:val="0"/>
      <w:marTop w:val="0"/>
      <w:marBottom w:val="0"/>
      <w:divBdr>
        <w:top w:val="none" w:sz="0" w:space="0" w:color="auto"/>
        <w:left w:val="none" w:sz="0" w:space="0" w:color="auto"/>
        <w:bottom w:val="none" w:sz="0" w:space="0" w:color="auto"/>
        <w:right w:val="none" w:sz="0" w:space="0" w:color="auto"/>
      </w:divBdr>
      <w:divsChild>
        <w:div w:id="242839110">
          <w:marLeft w:val="0"/>
          <w:marRight w:val="0"/>
          <w:marTop w:val="0"/>
          <w:marBottom w:val="0"/>
          <w:divBdr>
            <w:top w:val="none" w:sz="0" w:space="0" w:color="auto"/>
            <w:left w:val="none" w:sz="0" w:space="0" w:color="auto"/>
            <w:bottom w:val="none" w:sz="0" w:space="0" w:color="auto"/>
            <w:right w:val="none" w:sz="0" w:space="0" w:color="auto"/>
          </w:divBdr>
          <w:divsChild>
            <w:div w:id="354423814">
              <w:marLeft w:val="0"/>
              <w:marRight w:val="0"/>
              <w:marTop w:val="0"/>
              <w:marBottom w:val="0"/>
              <w:divBdr>
                <w:top w:val="none" w:sz="0" w:space="0" w:color="auto"/>
                <w:left w:val="none" w:sz="0" w:space="0" w:color="auto"/>
                <w:bottom w:val="none" w:sz="0" w:space="0" w:color="auto"/>
                <w:right w:val="none" w:sz="0" w:space="0" w:color="auto"/>
              </w:divBdr>
            </w:div>
            <w:div w:id="462820067">
              <w:marLeft w:val="0"/>
              <w:marRight w:val="0"/>
              <w:marTop w:val="0"/>
              <w:marBottom w:val="0"/>
              <w:divBdr>
                <w:top w:val="none" w:sz="0" w:space="0" w:color="auto"/>
                <w:left w:val="none" w:sz="0" w:space="0" w:color="auto"/>
                <w:bottom w:val="none" w:sz="0" w:space="0" w:color="auto"/>
                <w:right w:val="none" w:sz="0" w:space="0" w:color="auto"/>
              </w:divBdr>
            </w:div>
            <w:div w:id="761143266">
              <w:marLeft w:val="0"/>
              <w:marRight w:val="0"/>
              <w:marTop w:val="0"/>
              <w:marBottom w:val="0"/>
              <w:divBdr>
                <w:top w:val="none" w:sz="0" w:space="0" w:color="auto"/>
                <w:left w:val="none" w:sz="0" w:space="0" w:color="auto"/>
                <w:bottom w:val="none" w:sz="0" w:space="0" w:color="auto"/>
                <w:right w:val="none" w:sz="0" w:space="0" w:color="auto"/>
              </w:divBdr>
            </w:div>
            <w:div w:id="10849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2507">
      <w:bodyDiv w:val="1"/>
      <w:marLeft w:val="0"/>
      <w:marRight w:val="0"/>
      <w:marTop w:val="0"/>
      <w:marBottom w:val="0"/>
      <w:divBdr>
        <w:top w:val="none" w:sz="0" w:space="0" w:color="auto"/>
        <w:left w:val="none" w:sz="0" w:space="0" w:color="auto"/>
        <w:bottom w:val="none" w:sz="0" w:space="0" w:color="auto"/>
        <w:right w:val="none" w:sz="0" w:space="0" w:color="auto"/>
      </w:divBdr>
    </w:div>
    <w:div w:id="690372802">
      <w:bodyDiv w:val="1"/>
      <w:marLeft w:val="0"/>
      <w:marRight w:val="0"/>
      <w:marTop w:val="0"/>
      <w:marBottom w:val="0"/>
      <w:divBdr>
        <w:top w:val="none" w:sz="0" w:space="0" w:color="auto"/>
        <w:left w:val="none" w:sz="0" w:space="0" w:color="auto"/>
        <w:bottom w:val="none" w:sz="0" w:space="0" w:color="auto"/>
        <w:right w:val="none" w:sz="0" w:space="0" w:color="auto"/>
      </w:divBdr>
    </w:div>
    <w:div w:id="716317806">
      <w:bodyDiv w:val="1"/>
      <w:marLeft w:val="0"/>
      <w:marRight w:val="0"/>
      <w:marTop w:val="0"/>
      <w:marBottom w:val="0"/>
      <w:divBdr>
        <w:top w:val="none" w:sz="0" w:space="0" w:color="auto"/>
        <w:left w:val="none" w:sz="0" w:space="0" w:color="auto"/>
        <w:bottom w:val="none" w:sz="0" w:space="0" w:color="auto"/>
        <w:right w:val="none" w:sz="0" w:space="0" w:color="auto"/>
      </w:divBdr>
    </w:div>
    <w:div w:id="744649192">
      <w:bodyDiv w:val="1"/>
      <w:marLeft w:val="0"/>
      <w:marRight w:val="0"/>
      <w:marTop w:val="0"/>
      <w:marBottom w:val="0"/>
      <w:divBdr>
        <w:top w:val="none" w:sz="0" w:space="0" w:color="auto"/>
        <w:left w:val="none" w:sz="0" w:space="0" w:color="auto"/>
        <w:bottom w:val="none" w:sz="0" w:space="0" w:color="auto"/>
        <w:right w:val="none" w:sz="0" w:space="0" w:color="auto"/>
      </w:divBdr>
    </w:div>
    <w:div w:id="759135699">
      <w:bodyDiv w:val="1"/>
      <w:marLeft w:val="0"/>
      <w:marRight w:val="0"/>
      <w:marTop w:val="0"/>
      <w:marBottom w:val="0"/>
      <w:divBdr>
        <w:top w:val="none" w:sz="0" w:space="0" w:color="auto"/>
        <w:left w:val="none" w:sz="0" w:space="0" w:color="auto"/>
        <w:bottom w:val="none" w:sz="0" w:space="0" w:color="auto"/>
        <w:right w:val="none" w:sz="0" w:space="0" w:color="auto"/>
      </w:divBdr>
    </w:div>
    <w:div w:id="770396922">
      <w:bodyDiv w:val="1"/>
      <w:marLeft w:val="0"/>
      <w:marRight w:val="0"/>
      <w:marTop w:val="0"/>
      <w:marBottom w:val="0"/>
      <w:divBdr>
        <w:top w:val="none" w:sz="0" w:space="0" w:color="auto"/>
        <w:left w:val="none" w:sz="0" w:space="0" w:color="auto"/>
        <w:bottom w:val="none" w:sz="0" w:space="0" w:color="auto"/>
        <w:right w:val="none" w:sz="0" w:space="0" w:color="auto"/>
      </w:divBdr>
    </w:div>
    <w:div w:id="782070990">
      <w:bodyDiv w:val="1"/>
      <w:marLeft w:val="0"/>
      <w:marRight w:val="0"/>
      <w:marTop w:val="0"/>
      <w:marBottom w:val="0"/>
      <w:divBdr>
        <w:top w:val="none" w:sz="0" w:space="0" w:color="auto"/>
        <w:left w:val="none" w:sz="0" w:space="0" w:color="auto"/>
        <w:bottom w:val="none" w:sz="0" w:space="0" w:color="auto"/>
        <w:right w:val="none" w:sz="0" w:space="0" w:color="auto"/>
      </w:divBdr>
    </w:div>
    <w:div w:id="839154919">
      <w:bodyDiv w:val="1"/>
      <w:marLeft w:val="0"/>
      <w:marRight w:val="0"/>
      <w:marTop w:val="0"/>
      <w:marBottom w:val="0"/>
      <w:divBdr>
        <w:top w:val="none" w:sz="0" w:space="0" w:color="auto"/>
        <w:left w:val="none" w:sz="0" w:space="0" w:color="auto"/>
        <w:bottom w:val="none" w:sz="0" w:space="0" w:color="auto"/>
        <w:right w:val="none" w:sz="0" w:space="0" w:color="auto"/>
      </w:divBdr>
    </w:div>
    <w:div w:id="912130794">
      <w:bodyDiv w:val="1"/>
      <w:marLeft w:val="0"/>
      <w:marRight w:val="0"/>
      <w:marTop w:val="0"/>
      <w:marBottom w:val="0"/>
      <w:divBdr>
        <w:top w:val="none" w:sz="0" w:space="0" w:color="auto"/>
        <w:left w:val="none" w:sz="0" w:space="0" w:color="auto"/>
        <w:bottom w:val="none" w:sz="0" w:space="0" w:color="auto"/>
        <w:right w:val="none" w:sz="0" w:space="0" w:color="auto"/>
      </w:divBdr>
    </w:div>
    <w:div w:id="940573027">
      <w:bodyDiv w:val="1"/>
      <w:marLeft w:val="0"/>
      <w:marRight w:val="0"/>
      <w:marTop w:val="0"/>
      <w:marBottom w:val="0"/>
      <w:divBdr>
        <w:top w:val="none" w:sz="0" w:space="0" w:color="auto"/>
        <w:left w:val="none" w:sz="0" w:space="0" w:color="auto"/>
        <w:bottom w:val="none" w:sz="0" w:space="0" w:color="auto"/>
        <w:right w:val="none" w:sz="0" w:space="0" w:color="auto"/>
      </w:divBdr>
    </w:div>
    <w:div w:id="944191921">
      <w:bodyDiv w:val="1"/>
      <w:marLeft w:val="0"/>
      <w:marRight w:val="0"/>
      <w:marTop w:val="0"/>
      <w:marBottom w:val="0"/>
      <w:divBdr>
        <w:top w:val="none" w:sz="0" w:space="0" w:color="auto"/>
        <w:left w:val="none" w:sz="0" w:space="0" w:color="auto"/>
        <w:bottom w:val="none" w:sz="0" w:space="0" w:color="auto"/>
        <w:right w:val="none" w:sz="0" w:space="0" w:color="auto"/>
      </w:divBdr>
    </w:div>
    <w:div w:id="949317951">
      <w:bodyDiv w:val="1"/>
      <w:marLeft w:val="0"/>
      <w:marRight w:val="0"/>
      <w:marTop w:val="0"/>
      <w:marBottom w:val="0"/>
      <w:divBdr>
        <w:top w:val="none" w:sz="0" w:space="0" w:color="auto"/>
        <w:left w:val="none" w:sz="0" w:space="0" w:color="auto"/>
        <w:bottom w:val="none" w:sz="0" w:space="0" w:color="auto"/>
        <w:right w:val="none" w:sz="0" w:space="0" w:color="auto"/>
      </w:divBdr>
    </w:div>
    <w:div w:id="971208110">
      <w:bodyDiv w:val="1"/>
      <w:marLeft w:val="0"/>
      <w:marRight w:val="0"/>
      <w:marTop w:val="0"/>
      <w:marBottom w:val="0"/>
      <w:divBdr>
        <w:top w:val="none" w:sz="0" w:space="0" w:color="auto"/>
        <w:left w:val="none" w:sz="0" w:space="0" w:color="auto"/>
        <w:bottom w:val="none" w:sz="0" w:space="0" w:color="auto"/>
        <w:right w:val="none" w:sz="0" w:space="0" w:color="auto"/>
      </w:divBdr>
    </w:div>
    <w:div w:id="993948186">
      <w:bodyDiv w:val="1"/>
      <w:marLeft w:val="0"/>
      <w:marRight w:val="0"/>
      <w:marTop w:val="0"/>
      <w:marBottom w:val="0"/>
      <w:divBdr>
        <w:top w:val="none" w:sz="0" w:space="0" w:color="auto"/>
        <w:left w:val="none" w:sz="0" w:space="0" w:color="auto"/>
        <w:bottom w:val="none" w:sz="0" w:space="0" w:color="auto"/>
        <w:right w:val="none" w:sz="0" w:space="0" w:color="auto"/>
      </w:divBdr>
    </w:div>
    <w:div w:id="1011882935">
      <w:bodyDiv w:val="1"/>
      <w:marLeft w:val="0"/>
      <w:marRight w:val="0"/>
      <w:marTop w:val="0"/>
      <w:marBottom w:val="0"/>
      <w:divBdr>
        <w:top w:val="none" w:sz="0" w:space="0" w:color="auto"/>
        <w:left w:val="none" w:sz="0" w:space="0" w:color="auto"/>
        <w:bottom w:val="none" w:sz="0" w:space="0" w:color="auto"/>
        <w:right w:val="none" w:sz="0" w:space="0" w:color="auto"/>
      </w:divBdr>
    </w:div>
    <w:div w:id="1061715386">
      <w:bodyDiv w:val="1"/>
      <w:marLeft w:val="0"/>
      <w:marRight w:val="0"/>
      <w:marTop w:val="0"/>
      <w:marBottom w:val="0"/>
      <w:divBdr>
        <w:top w:val="none" w:sz="0" w:space="0" w:color="auto"/>
        <w:left w:val="none" w:sz="0" w:space="0" w:color="auto"/>
        <w:bottom w:val="none" w:sz="0" w:space="0" w:color="auto"/>
        <w:right w:val="none" w:sz="0" w:space="0" w:color="auto"/>
      </w:divBdr>
    </w:div>
    <w:div w:id="1108356074">
      <w:bodyDiv w:val="1"/>
      <w:marLeft w:val="0"/>
      <w:marRight w:val="0"/>
      <w:marTop w:val="0"/>
      <w:marBottom w:val="0"/>
      <w:divBdr>
        <w:top w:val="none" w:sz="0" w:space="0" w:color="auto"/>
        <w:left w:val="none" w:sz="0" w:space="0" w:color="auto"/>
        <w:bottom w:val="none" w:sz="0" w:space="0" w:color="auto"/>
        <w:right w:val="none" w:sz="0" w:space="0" w:color="auto"/>
      </w:divBdr>
    </w:div>
    <w:div w:id="1114904072">
      <w:bodyDiv w:val="1"/>
      <w:marLeft w:val="0"/>
      <w:marRight w:val="0"/>
      <w:marTop w:val="0"/>
      <w:marBottom w:val="0"/>
      <w:divBdr>
        <w:top w:val="none" w:sz="0" w:space="0" w:color="auto"/>
        <w:left w:val="none" w:sz="0" w:space="0" w:color="auto"/>
        <w:bottom w:val="none" w:sz="0" w:space="0" w:color="auto"/>
        <w:right w:val="none" w:sz="0" w:space="0" w:color="auto"/>
      </w:divBdr>
    </w:div>
    <w:div w:id="1119837587">
      <w:bodyDiv w:val="1"/>
      <w:marLeft w:val="0"/>
      <w:marRight w:val="0"/>
      <w:marTop w:val="0"/>
      <w:marBottom w:val="0"/>
      <w:divBdr>
        <w:top w:val="none" w:sz="0" w:space="0" w:color="auto"/>
        <w:left w:val="none" w:sz="0" w:space="0" w:color="auto"/>
        <w:bottom w:val="none" w:sz="0" w:space="0" w:color="auto"/>
        <w:right w:val="none" w:sz="0" w:space="0" w:color="auto"/>
      </w:divBdr>
    </w:div>
    <w:div w:id="1165171560">
      <w:bodyDiv w:val="1"/>
      <w:marLeft w:val="0"/>
      <w:marRight w:val="0"/>
      <w:marTop w:val="0"/>
      <w:marBottom w:val="0"/>
      <w:divBdr>
        <w:top w:val="none" w:sz="0" w:space="0" w:color="auto"/>
        <w:left w:val="none" w:sz="0" w:space="0" w:color="auto"/>
        <w:bottom w:val="none" w:sz="0" w:space="0" w:color="auto"/>
        <w:right w:val="none" w:sz="0" w:space="0" w:color="auto"/>
      </w:divBdr>
    </w:div>
    <w:div w:id="1258758779">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2571623">
      <w:bodyDiv w:val="1"/>
      <w:marLeft w:val="0"/>
      <w:marRight w:val="0"/>
      <w:marTop w:val="0"/>
      <w:marBottom w:val="0"/>
      <w:divBdr>
        <w:top w:val="none" w:sz="0" w:space="0" w:color="auto"/>
        <w:left w:val="none" w:sz="0" w:space="0" w:color="auto"/>
        <w:bottom w:val="none" w:sz="0" w:space="0" w:color="auto"/>
        <w:right w:val="none" w:sz="0" w:space="0" w:color="auto"/>
      </w:divBdr>
    </w:div>
    <w:div w:id="1306547713">
      <w:bodyDiv w:val="1"/>
      <w:marLeft w:val="0"/>
      <w:marRight w:val="0"/>
      <w:marTop w:val="0"/>
      <w:marBottom w:val="0"/>
      <w:divBdr>
        <w:top w:val="none" w:sz="0" w:space="0" w:color="auto"/>
        <w:left w:val="none" w:sz="0" w:space="0" w:color="auto"/>
        <w:bottom w:val="none" w:sz="0" w:space="0" w:color="auto"/>
        <w:right w:val="none" w:sz="0" w:space="0" w:color="auto"/>
      </w:divBdr>
    </w:div>
    <w:div w:id="1341852138">
      <w:bodyDiv w:val="1"/>
      <w:marLeft w:val="0"/>
      <w:marRight w:val="0"/>
      <w:marTop w:val="0"/>
      <w:marBottom w:val="0"/>
      <w:divBdr>
        <w:top w:val="none" w:sz="0" w:space="0" w:color="auto"/>
        <w:left w:val="none" w:sz="0" w:space="0" w:color="auto"/>
        <w:bottom w:val="none" w:sz="0" w:space="0" w:color="auto"/>
        <w:right w:val="none" w:sz="0" w:space="0" w:color="auto"/>
      </w:divBdr>
    </w:div>
    <w:div w:id="1341858114">
      <w:bodyDiv w:val="1"/>
      <w:marLeft w:val="0"/>
      <w:marRight w:val="0"/>
      <w:marTop w:val="0"/>
      <w:marBottom w:val="0"/>
      <w:divBdr>
        <w:top w:val="none" w:sz="0" w:space="0" w:color="auto"/>
        <w:left w:val="none" w:sz="0" w:space="0" w:color="auto"/>
        <w:bottom w:val="none" w:sz="0" w:space="0" w:color="auto"/>
        <w:right w:val="none" w:sz="0" w:space="0" w:color="auto"/>
      </w:divBdr>
    </w:div>
    <w:div w:id="1357999586">
      <w:bodyDiv w:val="1"/>
      <w:marLeft w:val="0"/>
      <w:marRight w:val="0"/>
      <w:marTop w:val="0"/>
      <w:marBottom w:val="0"/>
      <w:divBdr>
        <w:top w:val="none" w:sz="0" w:space="0" w:color="auto"/>
        <w:left w:val="none" w:sz="0" w:space="0" w:color="auto"/>
        <w:bottom w:val="none" w:sz="0" w:space="0" w:color="auto"/>
        <w:right w:val="none" w:sz="0" w:space="0" w:color="auto"/>
      </w:divBdr>
    </w:div>
    <w:div w:id="1390347366">
      <w:bodyDiv w:val="1"/>
      <w:marLeft w:val="0"/>
      <w:marRight w:val="0"/>
      <w:marTop w:val="0"/>
      <w:marBottom w:val="0"/>
      <w:divBdr>
        <w:top w:val="none" w:sz="0" w:space="0" w:color="auto"/>
        <w:left w:val="none" w:sz="0" w:space="0" w:color="auto"/>
        <w:bottom w:val="none" w:sz="0" w:space="0" w:color="auto"/>
        <w:right w:val="none" w:sz="0" w:space="0" w:color="auto"/>
      </w:divBdr>
      <w:divsChild>
        <w:div w:id="1742411096">
          <w:marLeft w:val="0"/>
          <w:marRight w:val="0"/>
          <w:marTop w:val="0"/>
          <w:marBottom w:val="0"/>
          <w:divBdr>
            <w:top w:val="none" w:sz="0" w:space="0" w:color="auto"/>
            <w:left w:val="none" w:sz="0" w:space="0" w:color="auto"/>
            <w:bottom w:val="none" w:sz="0" w:space="0" w:color="auto"/>
            <w:right w:val="none" w:sz="0" w:space="0" w:color="auto"/>
          </w:divBdr>
          <w:divsChild>
            <w:div w:id="248541496">
              <w:marLeft w:val="0"/>
              <w:marRight w:val="0"/>
              <w:marTop w:val="0"/>
              <w:marBottom w:val="0"/>
              <w:divBdr>
                <w:top w:val="none" w:sz="0" w:space="0" w:color="auto"/>
                <w:left w:val="none" w:sz="0" w:space="0" w:color="auto"/>
                <w:bottom w:val="none" w:sz="0" w:space="0" w:color="auto"/>
                <w:right w:val="none" w:sz="0" w:space="0" w:color="auto"/>
              </w:divBdr>
            </w:div>
            <w:div w:id="376466538">
              <w:marLeft w:val="0"/>
              <w:marRight w:val="0"/>
              <w:marTop w:val="0"/>
              <w:marBottom w:val="0"/>
              <w:divBdr>
                <w:top w:val="none" w:sz="0" w:space="0" w:color="auto"/>
                <w:left w:val="none" w:sz="0" w:space="0" w:color="auto"/>
                <w:bottom w:val="none" w:sz="0" w:space="0" w:color="auto"/>
                <w:right w:val="none" w:sz="0" w:space="0" w:color="auto"/>
              </w:divBdr>
            </w:div>
            <w:div w:id="591400473">
              <w:marLeft w:val="0"/>
              <w:marRight w:val="0"/>
              <w:marTop w:val="0"/>
              <w:marBottom w:val="0"/>
              <w:divBdr>
                <w:top w:val="none" w:sz="0" w:space="0" w:color="auto"/>
                <w:left w:val="none" w:sz="0" w:space="0" w:color="auto"/>
                <w:bottom w:val="none" w:sz="0" w:space="0" w:color="auto"/>
                <w:right w:val="none" w:sz="0" w:space="0" w:color="auto"/>
              </w:divBdr>
            </w:div>
            <w:div w:id="1275289436">
              <w:marLeft w:val="0"/>
              <w:marRight w:val="0"/>
              <w:marTop w:val="0"/>
              <w:marBottom w:val="0"/>
              <w:divBdr>
                <w:top w:val="none" w:sz="0" w:space="0" w:color="auto"/>
                <w:left w:val="none" w:sz="0" w:space="0" w:color="auto"/>
                <w:bottom w:val="none" w:sz="0" w:space="0" w:color="auto"/>
                <w:right w:val="none" w:sz="0" w:space="0" w:color="auto"/>
              </w:divBdr>
            </w:div>
            <w:div w:id="17305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9026">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102997567">
          <w:marLeft w:val="0"/>
          <w:marRight w:val="0"/>
          <w:marTop w:val="0"/>
          <w:marBottom w:val="0"/>
          <w:divBdr>
            <w:top w:val="none" w:sz="0" w:space="0" w:color="auto"/>
            <w:left w:val="none" w:sz="0" w:space="0" w:color="auto"/>
            <w:bottom w:val="none" w:sz="0" w:space="0" w:color="auto"/>
            <w:right w:val="none" w:sz="0" w:space="0" w:color="auto"/>
          </w:divBdr>
        </w:div>
      </w:divsChild>
    </w:div>
    <w:div w:id="1546912282">
      <w:bodyDiv w:val="1"/>
      <w:marLeft w:val="0"/>
      <w:marRight w:val="0"/>
      <w:marTop w:val="0"/>
      <w:marBottom w:val="0"/>
      <w:divBdr>
        <w:top w:val="none" w:sz="0" w:space="0" w:color="auto"/>
        <w:left w:val="none" w:sz="0" w:space="0" w:color="auto"/>
        <w:bottom w:val="none" w:sz="0" w:space="0" w:color="auto"/>
        <w:right w:val="none" w:sz="0" w:space="0" w:color="auto"/>
      </w:divBdr>
    </w:div>
    <w:div w:id="1560432439">
      <w:bodyDiv w:val="1"/>
      <w:marLeft w:val="0"/>
      <w:marRight w:val="0"/>
      <w:marTop w:val="0"/>
      <w:marBottom w:val="0"/>
      <w:divBdr>
        <w:top w:val="none" w:sz="0" w:space="0" w:color="auto"/>
        <w:left w:val="none" w:sz="0" w:space="0" w:color="auto"/>
        <w:bottom w:val="none" w:sz="0" w:space="0" w:color="auto"/>
        <w:right w:val="none" w:sz="0" w:space="0" w:color="auto"/>
      </w:divBdr>
    </w:div>
    <w:div w:id="1568606365">
      <w:bodyDiv w:val="1"/>
      <w:marLeft w:val="0"/>
      <w:marRight w:val="0"/>
      <w:marTop w:val="0"/>
      <w:marBottom w:val="0"/>
      <w:divBdr>
        <w:top w:val="none" w:sz="0" w:space="0" w:color="auto"/>
        <w:left w:val="none" w:sz="0" w:space="0" w:color="auto"/>
        <w:bottom w:val="none" w:sz="0" w:space="0" w:color="auto"/>
        <w:right w:val="none" w:sz="0" w:space="0" w:color="auto"/>
      </w:divBdr>
    </w:div>
    <w:div w:id="1663436106">
      <w:bodyDiv w:val="1"/>
      <w:marLeft w:val="0"/>
      <w:marRight w:val="0"/>
      <w:marTop w:val="0"/>
      <w:marBottom w:val="0"/>
      <w:divBdr>
        <w:top w:val="none" w:sz="0" w:space="0" w:color="auto"/>
        <w:left w:val="none" w:sz="0" w:space="0" w:color="auto"/>
        <w:bottom w:val="none" w:sz="0" w:space="0" w:color="auto"/>
        <w:right w:val="none" w:sz="0" w:space="0" w:color="auto"/>
      </w:divBdr>
    </w:div>
    <w:div w:id="1669479707">
      <w:bodyDiv w:val="1"/>
      <w:marLeft w:val="0"/>
      <w:marRight w:val="0"/>
      <w:marTop w:val="0"/>
      <w:marBottom w:val="0"/>
      <w:divBdr>
        <w:top w:val="none" w:sz="0" w:space="0" w:color="auto"/>
        <w:left w:val="none" w:sz="0" w:space="0" w:color="auto"/>
        <w:bottom w:val="none" w:sz="0" w:space="0" w:color="auto"/>
        <w:right w:val="none" w:sz="0" w:space="0" w:color="auto"/>
      </w:divBdr>
    </w:div>
    <w:div w:id="173461736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394768490">
          <w:marLeft w:val="0"/>
          <w:marRight w:val="0"/>
          <w:marTop w:val="0"/>
          <w:marBottom w:val="0"/>
          <w:divBdr>
            <w:top w:val="none" w:sz="0" w:space="0" w:color="auto"/>
            <w:left w:val="none" w:sz="0" w:space="0" w:color="auto"/>
            <w:bottom w:val="none" w:sz="0" w:space="0" w:color="auto"/>
            <w:right w:val="none" w:sz="0" w:space="0" w:color="auto"/>
          </w:divBdr>
        </w:div>
      </w:divsChild>
    </w:div>
    <w:div w:id="1748108643">
      <w:bodyDiv w:val="1"/>
      <w:marLeft w:val="0"/>
      <w:marRight w:val="0"/>
      <w:marTop w:val="0"/>
      <w:marBottom w:val="0"/>
      <w:divBdr>
        <w:top w:val="none" w:sz="0" w:space="0" w:color="auto"/>
        <w:left w:val="none" w:sz="0" w:space="0" w:color="auto"/>
        <w:bottom w:val="none" w:sz="0" w:space="0" w:color="auto"/>
        <w:right w:val="none" w:sz="0" w:space="0" w:color="auto"/>
      </w:divBdr>
    </w:div>
    <w:div w:id="1755279992">
      <w:bodyDiv w:val="1"/>
      <w:marLeft w:val="0"/>
      <w:marRight w:val="0"/>
      <w:marTop w:val="0"/>
      <w:marBottom w:val="0"/>
      <w:divBdr>
        <w:top w:val="none" w:sz="0" w:space="0" w:color="auto"/>
        <w:left w:val="none" w:sz="0" w:space="0" w:color="auto"/>
        <w:bottom w:val="none" w:sz="0" w:space="0" w:color="auto"/>
        <w:right w:val="none" w:sz="0" w:space="0" w:color="auto"/>
      </w:divBdr>
    </w:div>
    <w:div w:id="1766264962">
      <w:bodyDiv w:val="1"/>
      <w:marLeft w:val="0"/>
      <w:marRight w:val="0"/>
      <w:marTop w:val="0"/>
      <w:marBottom w:val="0"/>
      <w:divBdr>
        <w:top w:val="none" w:sz="0" w:space="0" w:color="auto"/>
        <w:left w:val="none" w:sz="0" w:space="0" w:color="auto"/>
        <w:bottom w:val="none" w:sz="0" w:space="0" w:color="auto"/>
        <w:right w:val="none" w:sz="0" w:space="0" w:color="auto"/>
      </w:divBdr>
      <w:divsChild>
        <w:div w:id="465660858">
          <w:marLeft w:val="0"/>
          <w:marRight w:val="0"/>
          <w:marTop w:val="0"/>
          <w:marBottom w:val="0"/>
          <w:divBdr>
            <w:top w:val="none" w:sz="0" w:space="0" w:color="auto"/>
            <w:left w:val="none" w:sz="0" w:space="0" w:color="auto"/>
            <w:bottom w:val="none" w:sz="0" w:space="0" w:color="auto"/>
            <w:right w:val="none" w:sz="0" w:space="0" w:color="auto"/>
          </w:divBdr>
          <w:divsChild>
            <w:div w:id="342250581">
              <w:marLeft w:val="0"/>
              <w:marRight w:val="0"/>
              <w:marTop w:val="0"/>
              <w:marBottom w:val="0"/>
              <w:divBdr>
                <w:top w:val="none" w:sz="0" w:space="0" w:color="auto"/>
                <w:left w:val="none" w:sz="0" w:space="0" w:color="auto"/>
                <w:bottom w:val="none" w:sz="0" w:space="0" w:color="auto"/>
                <w:right w:val="none" w:sz="0" w:space="0" w:color="auto"/>
              </w:divBdr>
            </w:div>
            <w:div w:id="492793584">
              <w:marLeft w:val="0"/>
              <w:marRight w:val="0"/>
              <w:marTop w:val="0"/>
              <w:marBottom w:val="0"/>
              <w:divBdr>
                <w:top w:val="none" w:sz="0" w:space="0" w:color="auto"/>
                <w:left w:val="none" w:sz="0" w:space="0" w:color="auto"/>
                <w:bottom w:val="none" w:sz="0" w:space="0" w:color="auto"/>
                <w:right w:val="none" w:sz="0" w:space="0" w:color="auto"/>
              </w:divBdr>
            </w:div>
            <w:div w:id="773018198">
              <w:marLeft w:val="0"/>
              <w:marRight w:val="0"/>
              <w:marTop w:val="0"/>
              <w:marBottom w:val="0"/>
              <w:divBdr>
                <w:top w:val="none" w:sz="0" w:space="0" w:color="auto"/>
                <w:left w:val="none" w:sz="0" w:space="0" w:color="auto"/>
                <w:bottom w:val="none" w:sz="0" w:space="0" w:color="auto"/>
                <w:right w:val="none" w:sz="0" w:space="0" w:color="auto"/>
              </w:divBdr>
            </w:div>
            <w:div w:id="796412204">
              <w:marLeft w:val="0"/>
              <w:marRight w:val="0"/>
              <w:marTop w:val="0"/>
              <w:marBottom w:val="0"/>
              <w:divBdr>
                <w:top w:val="none" w:sz="0" w:space="0" w:color="auto"/>
                <w:left w:val="none" w:sz="0" w:space="0" w:color="auto"/>
                <w:bottom w:val="none" w:sz="0" w:space="0" w:color="auto"/>
                <w:right w:val="none" w:sz="0" w:space="0" w:color="auto"/>
              </w:divBdr>
            </w:div>
            <w:div w:id="874658847">
              <w:marLeft w:val="0"/>
              <w:marRight w:val="0"/>
              <w:marTop w:val="0"/>
              <w:marBottom w:val="0"/>
              <w:divBdr>
                <w:top w:val="none" w:sz="0" w:space="0" w:color="auto"/>
                <w:left w:val="none" w:sz="0" w:space="0" w:color="auto"/>
                <w:bottom w:val="none" w:sz="0" w:space="0" w:color="auto"/>
                <w:right w:val="none" w:sz="0" w:space="0" w:color="auto"/>
              </w:divBdr>
            </w:div>
            <w:div w:id="1347366489">
              <w:marLeft w:val="0"/>
              <w:marRight w:val="0"/>
              <w:marTop w:val="0"/>
              <w:marBottom w:val="0"/>
              <w:divBdr>
                <w:top w:val="none" w:sz="0" w:space="0" w:color="auto"/>
                <w:left w:val="none" w:sz="0" w:space="0" w:color="auto"/>
                <w:bottom w:val="none" w:sz="0" w:space="0" w:color="auto"/>
                <w:right w:val="none" w:sz="0" w:space="0" w:color="auto"/>
              </w:divBdr>
            </w:div>
            <w:div w:id="1525945560">
              <w:marLeft w:val="0"/>
              <w:marRight w:val="0"/>
              <w:marTop w:val="0"/>
              <w:marBottom w:val="0"/>
              <w:divBdr>
                <w:top w:val="none" w:sz="0" w:space="0" w:color="auto"/>
                <w:left w:val="none" w:sz="0" w:space="0" w:color="auto"/>
                <w:bottom w:val="none" w:sz="0" w:space="0" w:color="auto"/>
                <w:right w:val="none" w:sz="0" w:space="0" w:color="auto"/>
              </w:divBdr>
            </w:div>
            <w:div w:id="15878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9649">
      <w:bodyDiv w:val="1"/>
      <w:marLeft w:val="0"/>
      <w:marRight w:val="0"/>
      <w:marTop w:val="0"/>
      <w:marBottom w:val="0"/>
      <w:divBdr>
        <w:top w:val="none" w:sz="0" w:space="0" w:color="auto"/>
        <w:left w:val="none" w:sz="0" w:space="0" w:color="auto"/>
        <w:bottom w:val="none" w:sz="0" w:space="0" w:color="auto"/>
        <w:right w:val="none" w:sz="0" w:space="0" w:color="auto"/>
      </w:divBdr>
    </w:div>
    <w:div w:id="1795438815">
      <w:bodyDiv w:val="1"/>
      <w:marLeft w:val="0"/>
      <w:marRight w:val="0"/>
      <w:marTop w:val="0"/>
      <w:marBottom w:val="0"/>
      <w:divBdr>
        <w:top w:val="none" w:sz="0" w:space="0" w:color="auto"/>
        <w:left w:val="none" w:sz="0" w:space="0" w:color="auto"/>
        <w:bottom w:val="none" w:sz="0" w:space="0" w:color="auto"/>
        <w:right w:val="none" w:sz="0" w:space="0" w:color="auto"/>
      </w:divBdr>
    </w:div>
    <w:div w:id="1801805375">
      <w:bodyDiv w:val="1"/>
      <w:marLeft w:val="0"/>
      <w:marRight w:val="0"/>
      <w:marTop w:val="0"/>
      <w:marBottom w:val="0"/>
      <w:divBdr>
        <w:top w:val="none" w:sz="0" w:space="0" w:color="auto"/>
        <w:left w:val="none" w:sz="0" w:space="0" w:color="auto"/>
        <w:bottom w:val="none" w:sz="0" w:space="0" w:color="auto"/>
        <w:right w:val="none" w:sz="0" w:space="0" w:color="auto"/>
      </w:divBdr>
    </w:div>
    <w:div w:id="1903714487">
      <w:bodyDiv w:val="1"/>
      <w:marLeft w:val="0"/>
      <w:marRight w:val="0"/>
      <w:marTop w:val="0"/>
      <w:marBottom w:val="0"/>
      <w:divBdr>
        <w:top w:val="none" w:sz="0" w:space="0" w:color="auto"/>
        <w:left w:val="none" w:sz="0" w:space="0" w:color="auto"/>
        <w:bottom w:val="none" w:sz="0" w:space="0" w:color="auto"/>
        <w:right w:val="none" w:sz="0" w:space="0" w:color="auto"/>
      </w:divBdr>
    </w:div>
    <w:div w:id="1916623498">
      <w:bodyDiv w:val="1"/>
      <w:marLeft w:val="0"/>
      <w:marRight w:val="0"/>
      <w:marTop w:val="0"/>
      <w:marBottom w:val="0"/>
      <w:divBdr>
        <w:top w:val="none" w:sz="0" w:space="0" w:color="auto"/>
        <w:left w:val="none" w:sz="0" w:space="0" w:color="auto"/>
        <w:bottom w:val="none" w:sz="0" w:space="0" w:color="auto"/>
        <w:right w:val="none" w:sz="0" w:space="0" w:color="auto"/>
      </w:divBdr>
    </w:div>
    <w:div w:id="1935042701">
      <w:bodyDiv w:val="1"/>
      <w:marLeft w:val="0"/>
      <w:marRight w:val="0"/>
      <w:marTop w:val="0"/>
      <w:marBottom w:val="0"/>
      <w:divBdr>
        <w:top w:val="none" w:sz="0" w:space="0" w:color="auto"/>
        <w:left w:val="none" w:sz="0" w:space="0" w:color="auto"/>
        <w:bottom w:val="none" w:sz="0" w:space="0" w:color="auto"/>
        <w:right w:val="none" w:sz="0" w:space="0" w:color="auto"/>
      </w:divBdr>
    </w:div>
    <w:div w:id="1957058349">
      <w:bodyDiv w:val="1"/>
      <w:marLeft w:val="0"/>
      <w:marRight w:val="0"/>
      <w:marTop w:val="0"/>
      <w:marBottom w:val="0"/>
      <w:divBdr>
        <w:top w:val="none" w:sz="0" w:space="0" w:color="auto"/>
        <w:left w:val="none" w:sz="0" w:space="0" w:color="auto"/>
        <w:bottom w:val="none" w:sz="0" w:space="0" w:color="auto"/>
        <w:right w:val="none" w:sz="0" w:space="0" w:color="auto"/>
      </w:divBdr>
    </w:div>
    <w:div w:id="1961568903">
      <w:bodyDiv w:val="1"/>
      <w:marLeft w:val="0"/>
      <w:marRight w:val="0"/>
      <w:marTop w:val="0"/>
      <w:marBottom w:val="0"/>
      <w:divBdr>
        <w:top w:val="none" w:sz="0" w:space="0" w:color="auto"/>
        <w:left w:val="none" w:sz="0" w:space="0" w:color="auto"/>
        <w:bottom w:val="none" w:sz="0" w:space="0" w:color="auto"/>
        <w:right w:val="none" w:sz="0" w:space="0" w:color="auto"/>
      </w:divBdr>
    </w:div>
    <w:div w:id="2019457947">
      <w:bodyDiv w:val="1"/>
      <w:marLeft w:val="0"/>
      <w:marRight w:val="0"/>
      <w:marTop w:val="0"/>
      <w:marBottom w:val="0"/>
      <w:divBdr>
        <w:top w:val="none" w:sz="0" w:space="0" w:color="auto"/>
        <w:left w:val="none" w:sz="0" w:space="0" w:color="auto"/>
        <w:bottom w:val="none" w:sz="0" w:space="0" w:color="auto"/>
        <w:right w:val="none" w:sz="0" w:space="0" w:color="auto"/>
      </w:divBdr>
    </w:div>
    <w:div w:id="2081824767">
      <w:bodyDiv w:val="1"/>
      <w:marLeft w:val="0"/>
      <w:marRight w:val="0"/>
      <w:marTop w:val="0"/>
      <w:marBottom w:val="0"/>
      <w:divBdr>
        <w:top w:val="none" w:sz="0" w:space="0" w:color="auto"/>
        <w:left w:val="none" w:sz="0" w:space="0" w:color="auto"/>
        <w:bottom w:val="none" w:sz="0" w:space="0" w:color="auto"/>
        <w:right w:val="none" w:sz="0" w:space="0" w:color="auto"/>
      </w:divBdr>
    </w:div>
    <w:div w:id="213189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12.emf"/><Relationship Id="rId42" Type="http://schemas.openxmlformats.org/officeDocument/2006/relationships/image" Target="media/image32.emf"/><Relationship Id="rId63" Type="http://schemas.openxmlformats.org/officeDocument/2006/relationships/oleObject" Target="embeddings/oleObject2.bin"/><Relationship Id="rId84" Type="http://schemas.openxmlformats.org/officeDocument/2006/relationships/image" Target="media/image57.png"/><Relationship Id="rId138" Type="http://schemas.openxmlformats.org/officeDocument/2006/relationships/image" Target="media/image89.png"/><Relationship Id="rId159" Type="http://schemas.openxmlformats.org/officeDocument/2006/relationships/image" Target="media/image101.emf"/><Relationship Id="rId170" Type="http://schemas.openxmlformats.org/officeDocument/2006/relationships/image" Target="media/image109.emf"/><Relationship Id="rId191" Type="http://schemas.openxmlformats.org/officeDocument/2006/relationships/image" Target="media/image121.wmf"/><Relationship Id="rId205" Type="http://schemas.openxmlformats.org/officeDocument/2006/relationships/image" Target="media/image131.emf"/><Relationship Id="rId107" Type="http://schemas.openxmlformats.org/officeDocument/2006/relationships/oleObject" Target="embeddings/oleObject17.bin"/><Relationship Id="rId11" Type="http://schemas.openxmlformats.org/officeDocument/2006/relationships/image" Target="media/image3.png"/><Relationship Id="rId32" Type="http://schemas.openxmlformats.org/officeDocument/2006/relationships/image" Target="media/image23.emf"/><Relationship Id="rId53" Type="http://schemas.openxmlformats.org/officeDocument/2006/relationships/hyperlink" Target="http://www.produccion-animal.com.ar" TargetMode="External"/><Relationship Id="rId74" Type="http://schemas.openxmlformats.org/officeDocument/2006/relationships/image" Target="media/image47.emf"/><Relationship Id="rId128" Type="http://schemas.openxmlformats.org/officeDocument/2006/relationships/oleObject" Target="embeddings/oleObject26.bin"/><Relationship Id="rId149" Type="http://schemas.openxmlformats.org/officeDocument/2006/relationships/oleObject" Target="embeddings/oleObject34.bin"/><Relationship Id="rId5" Type="http://schemas.openxmlformats.org/officeDocument/2006/relationships/webSettings" Target="webSettings.xml"/><Relationship Id="rId90" Type="http://schemas.openxmlformats.org/officeDocument/2006/relationships/oleObject" Target="embeddings/oleObject9.bin"/><Relationship Id="rId95" Type="http://schemas.openxmlformats.org/officeDocument/2006/relationships/image" Target="media/image64.wmf"/><Relationship Id="rId160" Type="http://schemas.openxmlformats.org/officeDocument/2006/relationships/image" Target="media/image102.png"/><Relationship Id="rId165" Type="http://schemas.openxmlformats.org/officeDocument/2006/relationships/image" Target="media/image106.wmf"/><Relationship Id="rId181" Type="http://schemas.openxmlformats.org/officeDocument/2006/relationships/oleObject" Target="embeddings/oleObject46.bin"/><Relationship Id="rId186" Type="http://schemas.openxmlformats.org/officeDocument/2006/relationships/image" Target="media/image118.emf"/><Relationship Id="rId216" Type="http://schemas.openxmlformats.org/officeDocument/2006/relationships/image" Target="media/image140.png"/><Relationship Id="rId211" Type="http://schemas.openxmlformats.org/officeDocument/2006/relationships/image" Target="media/image135.emf"/><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3.emf"/><Relationship Id="rId48" Type="http://schemas.openxmlformats.org/officeDocument/2006/relationships/hyperlink" Target="http://www.afsc.ca/doc.aspx?id=5335" TargetMode="External"/><Relationship Id="rId64" Type="http://schemas.openxmlformats.org/officeDocument/2006/relationships/image" Target="media/image42.wmf"/><Relationship Id="rId69" Type="http://schemas.openxmlformats.org/officeDocument/2006/relationships/oleObject" Target="embeddings/oleObject5.bin"/><Relationship Id="rId113" Type="http://schemas.openxmlformats.org/officeDocument/2006/relationships/oleObject" Target="embeddings/oleObject20.bin"/><Relationship Id="rId118" Type="http://schemas.openxmlformats.org/officeDocument/2006/relationships/image" Target="media/image76.wmf"/><Relationship Id="rId134" Type="http://schemas.openxmlformats.org/officeDocument/2006/relationships/oleObject" Target="embeddings/oleObject29.bin"/><Relationship Id="rId139" Type="http://schemas.openxmlformats.org/officeDocument/2006/relationships/image" Target="media/image90.png"/><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image" Target="media/image96.wmf"/><Relationship Id="rId155" Type="http://schemas.openxmlformats.org/officeDocument/2006/relationships/oleObject" Target="embeddings/oleObject37.bin"/><Relationship Id="rId171" Type="http://schemas.openxmlformats.org/officeDocument/2006/relationships/image" Target="media/image110.emf"/><Relationship Id="rId176" Type="http://schemas.openxmlformats.org/officeDocument/2006/relationships/image" Target="media/image113.wmf"/><Relationship Id="rId192" Type="http://schemas.openxmlformats.org/officeDocument/2006/relationships/oleObject" Target="embeddings/oleObject51.bin"/><Relationship Id="rId197" Type="http://schemas.openxmlformats.org/officeDocument/2006/relationships/image" Target="media/image124.emf"/><Relationship Id="rId206" Type="http://schemas.openxmlformats.org/officeDocument/2006/relationships/image" Target="media/image132.emf"/><Relationship Id="rId201" Type="http://schemas.openxmlformats.org/officeDocument/2006/relationships/image" Target="media/image128.emf"/><Relationship Id="rId12" Type="http://schemas.openxmlformats.org/officeDocument/2006/relationships/header" Target="header1.xml"/><Relationship Id="rId17" Type="http://schemas.openxmlformats.org/officeDocument/2006/relationships/image" Target="media/image7.emf"/><Relationship Id="rId33" Type="http://schemas.openxmlformats.org/officeDocument/2006/relationships/image" Target="media/image24.png"/><Relationship Id="rId38" Type="http://schemas.openxmlformats.org/officeDocument/2006/relationships/image" Target="media/image28.emf"/><Relationship Id="rId59" Type="http://schemas.openxmlformats.org/officeDocument/2006/relationships/image" Target="media/image38.emf"/><Relationship Id="rId103" Type="http://schemas.openxmlformats.org/officeDocument/2006/relationships/oleObject" Target="embeddings/oleObject15.bin"/><Relationship Id="rId108" Type="http://schemas.openxmlformats.org/officeDocument/2006/relationships/image" Target="media/image71.wmf"/><Relationship Id="rId124" Type="http://schemas.openxmlformats.org/officeDocument/2006/relationships/image" Target="media/image79.emf"/><Relationship Id="rId129" Type="http://schemas.openxmlformats.org/officeDocument/2006/relationships/image" Target="media/image83.wmf"/><Relationship Id="rId54" Type="http://schemas.openxmlformats.org/officeDocument/2006/relationships/hyperlink" Target="http://www1.hcdn.gov.ar/proyxml/expediente.asp?fundamentos=si&amp;numexp=2970-D-2012" TargetMode="External"/><Relationship Id="rId70" Type="http://schemas.openxmlformats.org/officeDocument/2006/relationships/image" Target="media/image45.wmf"/><Relationship Id="rId75" Type="http://schemas.openxmlformats.org/officeDocument/2006/relationships/image" Target="media/image48.emf"/><Relationship Id="rId91" Type="http://schemas.openxmlformats.org/officeDocument/2006/relationships/image" Target="media/image62.wmf"/><Relationship Id="rId96" Type="http://schemas.openxmlformats.org/officeDocument/2006/relationships/oleObject" Target="embeddings/oleObject12.bin"/><Relationship Id="rId140" Type="http://schemas.openxmlformats.org/officeDocument/2006/relationships/image" Target="media/image91.wmf"/><Relationship Id="rId145" Type="http://schemas.openxmlformats.org/officeDocument/2006/relationships/oleObject" Target="embeddings/oleObject32.bin"/><Relationship Id="rId161" Type="http://schemas.openxmlformats.org/officeDocument/2006/relationships/image" Target="media/image103.emf"/><Relationship Id="rId166" Type="http://schemas.openxmlformats.org/officeDocument/2006/relationships/oleObject" Target="embeddings/oleObject40.bin"/><Relationship Id="rId182" Type="http://schemas.openxmlformats.org/officeDocument/2006/relationships/image" Target="media/image116.wmf"/><Relationship Id="rId187" Type="http://schemas.openxmlformats.org/officeDocument/2006/relationships/image" Target="media/image119.wmf"/><Relationship Id="rId217"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36.emf"/><Relationship Id="rId23" Type="http://schemas.openxmlformats.org/officeDocument/2006/relationships/image" Target="media/image14.png"/><Relationship Id="rId28" Type="http://schemas.openxmlformats.org/officeDocument/2006/relationships/image" Target="media/image19.emf"/><Relationship Id="rId49" Type="http://schemas.openxmlformats.org/officeDocument/2006/relationships/hyperlink" Target="http://www.memoria.fahce.unlp.edu.ar/art_revistas/pr.4450/pr.4450.pdf" TargetMode="External"/><Relationship Id="rId114" Type="http://schemas.openxmlformats.org/officeDocument/2006/relationships/image" Target="media/image74.wmf"/><Relationship Id="rId119" Type="http://schemas.openxmlformats.org/officeDocument/2006/relationships/oleObject" Target="embeddings/oleObject23.bin"/><Relationship Id="rId44" Type="http://schemas.openxmlformats.org/officeDocument/2006/relationships/image" Target="media/image34.emf"/><Relationship Id="rId60" Type="http://schemas.openxmlformats.org/officeDocument/2006/relationships/image" Target="media/image39.emf"/><Relationship Id="rId65" Type="http://schemas.openxmlformats.org/officeDocument/2006/relationships/oleObject" Target="embeddings/oleObject3.bin"/><Relationship Id="rId81" Type="http://schemas.openxmlformats.org/officeDocument/2006/relationships/image" Target="media/image54.png"/><Relationship Id="rId86" Type="http://schemas.openxmlformats.org/officeDocument/2006/relationships/image" Target="media/image59.wmf"/><Relationship Id="rId130" Type="http://schemas.openxmlformats.org/officeDocument/2006/relationships/oleObject" Target="embeddings/oleObject27.bin"/><Relationship Id="rId135" Type="http://schemas.openxmlformats.org/officeDocument/2006/relationships/image" Target="media/image86.emf"/><Relationship Id="rId151" Type="http://schemas.openxmlformats.org/officeDocument/2006/relationships/oleObject" Target="embeddings/oleObject35.bin"/><Relationship Id="rId156" Type="http://schemas.openxmlformats.org/officeDocument/2006/relationships/image" Target="media/image99.wmf"/><Relationship Id="rId177" Type="http://schemas.openxmlformats.org/officeDocument/2006/relationships/oleObject" Target="embeddings/oleObject44.bin"/><Relationship Id="rId198" Type="http://schemas.openxmlformats.org/officeDocument/2006/relationships/image" Target="media/image125.emf"/><Relationship Id="rId172" Type="http://schemas.openxmlformats.org/officeDocument/2006/relationships/image" Target="media/image111.wmf"/><Relationship Id="rId193" Type="http://schemas.openxmlformats.org/officeDocument/2006/relationships/image" Target="media/image122.wmf"/><Relationship Id="rId202" Type="http://schemas.openxmlformats.org/officeDocument/2006/relationships/image" Target="media/image129.emf"/><Relationship Id="rId207" Type="http://schemas.openxmlformats.org/officeDocument/2006/relationships/image" Target="media/image133.wmf"/><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oleObject" Target="embeddings/oleObject18.bin"/><Relationship Id="rId34" Type="http://schemas.openxmlformats.org/officeDocument/2006/relationships/image" Target="media/image25.emf"/><Relationship Id="rId50" Type="http://schemas.openxmlformats.org/officeDocument/2006/relationships/hyperlink" Target="http://www.agroseguro.es/memoria2011/Informes.html" TargetMode="External"/><Relationship Id="rId55" Type="http://schemas.openxmlformats.org/officeDocument/2006/relationships/hyperlink" Target="http://www.produccion.animal.com.ar" TargetMode="External"/><Relationship Id="rId76" Type="http://schemas.openxmlformats.org/officeDocument/2006/relationships/image" Target="media/image49.emf"/><Relationship Id="rId97" Type="http://schemas.openxmlformats.org/officeDocument/2006/relationships/image" Target="media/image65.wmf"/><Relationship Id="rId104" Type="http://schemas.openxmlformats.org/officeDocument/2006/relationships/image" Target="media/image69.wmf"/><Relationship Id="rId120" Type="http://schemas.openxmlformats.org/officeDocument/2006/relationships/image" Target="media/image77.wmf"/><Relationship Id="rId125" Type="http://schemas.openxmlformats.org/officeDocument/2006/relationships/image" Target="media/image80.emf"/><Relationship Id="rId141" Type="http://schemas.openxmlformats.org/officeDocument/2006/relationships/oleObject" Target="embeddings/oleObject30.bin"/><Relationship Id="rId146" Type="http://schemas.openxmlformats.org/officeDocument/2006/relationships/image" Target="media/image94.wmf"/><Relationship Id="rId167" Type="http://schemas.openxmlformats.org/officeDocument/2006/relationships/image" Target="media/image107.wmf"/><Relationship Id="rId188" Type="http://schemas.openxmlformats.org/officeDocument/2006/relationships/oleObject" Target="embeddings/oleObject49.bin"/><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oleObject" Target="embeddings/oleObject10.bin"/><Relationship Id="rId162" Type="http://schemas.openxmlformats.org/officeDocument/2006/relationships/image" Target="media/image104.wmf"/><Relationship Id="rId183" Type="http://schemas.openxmlformats.org/officeDocument/2006/relationships/oleObject" Target="embeddings/oleObject47.bin"/><Relationship Id="rId213" Type="http://schemas.openxmlformats.org/officeDocument/2006/relationships/image" Target="media/image137.emf"/><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30.jpeg"/><Relationship Id="rId45" Type="http://schemas.openxmlformats.org/officeDocument/2006/relationships/image" Target="media/image35.emf"/><Relationship Id="rId66" Type="http://schemas.openxmlformats.org/officeDocument/2006/relationships/image" Target="media/image43.wmf"/><Relationship Id="rId87" Type="http://schemas.openxmlformats.org/officeDocument/2006/relationships/oleObject" Target="embeddings/oleObject8.bin"/><Relationship Id="rId110" Type="http://schemas.openxmlformats.org/officeDocument/2006/relationships/image" Target="media/image72.wmf"/><Relationship Id="rId115" Type="http://schemas.openxmlformats.org/officeDocument/2006/relationships/oleObject" Target="embeddings/oleObject21.bin"/><Relationship Id="rId131" Type="http://schemas.openxmlformats.org/officeDocument/2006/relationships/image" Target="media/image84.wmf"/><Relationship Id="rId136" Type="http://schemas.openxmlformats.org/officeDocument/2006/relationships/image" Target="media/image87.png"/><Relationship Id="rId157" Type="http://schemas.openxmlformats.org/officeDocument/2006/relationships/oleObject" Target="embeddings/oleObject38.bin"/><Relationship Id="rId178" Type="http://schemas.openxmlformats.org/officeDocument/2006/relationships/image" Target="media/image114.wmf"/><Relationship Id="rId61" Type="http://schemas.openxmlformats.org/officeDocument/2006/relationships/image" Target="media/image40.emf"/><Relationship Id="rId82" Type="http://schemas.openxmlformats.org/officeDocument/2006/relationships/image" Target="media/image55.png"/><Relationship Id="rId152" Type="http://schemas.openxmlformats.org/officeDocument/2006/relationships/image" Target="media/image97.wmf"/><Relationship Id="rId173" Type="http://schemas.openxmlformats.org/officeDocument/2006/relationships/oleObject" Target="embeddings/oleObject42.bin"/><Relationship Id="rId194" Type="http://schemas.openxmlformats.org/officeDocument/2006/relationships/oleObject" Target="embeddings/oleObject52.bin"/><Relationship Id="rId199" Type="http://schemas.openxmlformats.org/officeDocument/2006/relationships/image" Target="media/image126.emf"/><Relationship Id="rId203" Type="http://schemas.openxmlformats.org/officeDocument/2006/relationships/image" Target="media/image130.wmf"/><Relationship Id="rId208" Type="http://schemas.openxmlformats.org/officeDocument/2006/relationships/oleObject" Target="embeddings/oleObject55.bin"/><Relationship Id="rId19" Type="http://schemas.openxmlformats.org/officeDocument/2006/relationships/image" Target="media/image10.emf"/><Relationship Id="rId14" Type="http://schemas.openxmlformats.org/officeDocument/2006/relationships/image" Target="media/image4.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www.ncdc.noaa.gov/bams-state-of-the-climate/2008.php" TargetMode="External"/><Relationship Id="rId77" Type="http://schemas.openxmlformats.org/officeDocument/2006/relationships/image" Target="media/image50.emf"/><Relationship Id="rId100" Type="http://schemas.openxmlformats.org/officeDocument/2006/relationships/oleObject" Target="embeddings/oleObject14.bin"/><Relationship Id="rId105" Type="http://schemas.openxmlformats.org/officeDocument/2006/relationships/oleObject" Target="embeddings/oleObject16.bin"/><Relationship Id="rId126" Type="http://schemas.openxmlformats.org/officeDocument/2006/relationships/image" Target="media/image81.emf"/><Relationship Id="rId147" Type="http://schemas.openxmlformats.org/officeDocument/2006/relationships/oleObject" Target="embeddings/oleObject33.bin"/><Relationship Id="rId168" Type="http://schemas.openxmlformats.org/officeDocument/2006/relationships/oleObject" Target="embeddings/oleObject41.bin"/><Relationship Id="rId8" Type="http://schemas.openxmlformats.org/officeDocument/2006/relationships/image" Target="media/image1.wmf"/><Relationship Id="rId51" Type="http://schemas.openxmlformats.org/officeDocument/2006/relationships/hyperlink" Target="http://www1.hcdn.gov.ar/proyxml/expediente.asp?fundamentos=si&amp;numexp=2320-D-2012" TargetMode="External"/><Relationship Id="rId72" Type="http://schemas.openxmlformats.org/officeDocument/2006/relationships/image" Target="media/image46.wmf"/><Relationship Id="rId93" Type="http://schemas.openxmlformats.org/officeDocument/2006/relationships/image" Target="media/image63.wmf"/><Relationship Id="rId98" Type="http://schemas.openxmlformats.org/officeDocument/2006/relationships/oleObject" Target="embeddings/oleObject13.bin"/><Relationship Id="rId121" Type="http://schemas.openxmlformats.org/officeDocument/2006/relationships/oleObject" Target="embeddings/oleObject24.bin"/><Relationship Id="rId142" Type="http://schemas.openxmlformats.org/officeDocument/2006/relationships/image" Target="media/image92.wmf"/><Relationship Id="rId163" Type="http://schemas.openxmlformats.org/officeDocument/2006/relationships/oleObject" Target="embeddings/oleObject39.bin"/><Relationship Id="rId184" Type="http://schemas.openxmlformats.org/officeDocument/2006/relationships/image" Target="media/image117.wmf"/><Relationship Id="rId189" Type="http://schemas.openxmlformats.org/officeDocument/2006/relationships/image" Target="media/image120.wmf"/><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38.emf"/><Relationship Id="rId25" Type="http://schemas.openxmlformats.org/officeDocument/2006/relationships/image" Target="media/image16.png"/><Relationship Id="rId46" Type="http://schemas.openxmlformats.org/officeDocument/2006/relationships/image" Target="media/image36.emf"/><Relationship Id="rId67" Type="http://schemas.openxmlformats.org/officeDocument/2006/relationships/oleObject" Target="embeddings/oleObject4.bin"/><Relationship Id="rId116" Type="http://schemas.openxmlformats.org/officeDocument/2006/relationships/image" Target="media/image75.wmf"/><Relationship Id="rId137" Type="http://schemas.openxmlformats.org/officeDocument/2006/relationships/image" Target="media/image88.png"/><Relationship Id="rId158" Type="http://schemas.openxmlformats.org/officeDocument/2006/relationships/image" Target="media/image100.emf"/><Relationship Id="rId20" Type="http://schemas.openxmlformats.org/officeDocument/2006/relationships/image" Target="media/image11.emf"/><Relationship Id="rId41" Type="http://schemas.openxmlformats.org/officeDocument/2006/relationships/image" Target="media/image31.emf"/><Relationship Id="rId62" Type="http://schemas.openxmlformats.org/officeDocument/2006/relationships/image" Target="media/image41.wmf"/><Relationship Id="rId83" Type="http://schemas.openxmlformats.org/officeDocument/2006/relationships/image" Target="media/image56.png"/><Relationship Id="rId88" Type="http://schemas.openxmlformats.org/officeDocument/2006/relationships/image" Target="media/image60.emf"/><Relationship Id="rId111" Type="http://schemas.openxmlformats.org/officeDocument/2006/relationships/oleObject" Target="embeddings/oleObject19.bin"/><Relationship Id="rId132" Type="http://schemas.openxmlformats.org/officeDocument/2006/relationships/oleObject" Target="embeddings/oleObject28.bin"/><Relationship Id="rId153" Type="http://schemas.openxmlformats.org/officeDocument/2006/relationships/oleObject" Target="embeddings/oleObject36.bin"/><Relationship Id="rId174" Type="http://schemas.openxmlformats.org/officeDocument/2006/relationships/image" Target="media/image112.wmf"/><Relationship Id="rId179" Type="http://schemas.openxmlformats.org/officeDocument/2006/relationships/oleObject" Target="embeddings/oleObject45.bin"/><Relationship Id="rId195" Type="http://schemas.openxmlformats.org/officeDocument/2006/relationships/image" Target="media/image123.wmf"/><Relationship Id="rId209" Type="http://schemas.openxmlformats.org/officeDocument/2006/relationships/image" Target="media/image134.wmf"/><Relationship Id="rId190" Type="http://schemas.openxmlformats.org/officeDocument/2006/relationships/oleObject" Target="embeddings/oleObject50.bin"/><Relationship Id="rId204" Type="http://schemas.openxmlformats.org/officeDocument/2006/relationships/oleObject" Target="embeddings/oleObject54.bin"/><Relationship Id="rId241" Type="http://schemas.microsoft.com/office/2007/relationships/stylesWithEffects" Target="stylesWithEffects.xml"/><Relationship Id="rId15" Type="http://schemas.openxmlformats.org/officeDocument/2006/relationships/image" Target="media/image5.png"/><Relationship Id="rId36" Type="http://schemas.openxmlformats.org/officeDocument/2006/relationships/image" Target="media/image27.jpeg"/><Relationship Id="rId57" Type="http://schemas.openxmlformats.org/officeDocument/2006/relationships/image" Target="media/image37.wmf"/><Relationship Id="rId106" Type="http://schemas.openxmlformats.org/officeDocument/2006/relationships/image" Target="media/image70.wmf"/><Relationship Id="rId127" Type="http://schemas.openxmlformats.org/officeDocument/2006/relationships/image" Target="media/image82.wmf"/><Relationship Id="rId10" Type="http://schemas.openxmlformats.org/officeDocument/2006/relationships/image" Target="media/image2.emf"/><Relationship Id="rId31" Type="http://schemas.openxmlformats.org/officeDocument/2006/relationships/image" Target="media/image22.emf"/><Relationship Id="rId52" Type="http://schemas.openxmlformats.org/officeDocument/2006/relationships/hyperlink" Target="http://www.produccion-animal.com.ar" TargetMode="External"/><Relationship Id="rId73" Type="http://schemas.openxmlformats.org/officeDocument/2006/relationships/oleObject" Target="embeddings/oleObject7.bin"/><Relationship Id="rId78" Type="http://schemas.openxmlformats.org/officeDocument/2006/relationships/image" Target="media/image51.png"/><Relationship Id="rId94" Type="http://schemas.openxmlformats.org/officeDocument/2006/relationships/oleObject" Target="embeddings/oleObject11.bin"/><Relationship Id="rId99" Type="http://schemas.openxmlformats.org/officeDocument/2006/relationships/image" Target="media/image66.wmf"/><Relationship Id="rId101" Type="http://schemas.openxmlformats.org/officeDocument/2006/relationships/image" Target="media/image67.emf"/><Relationship Id="rId122" Type="http://schemas.openxmlformats.org/officeDocument/2006/relationships/image" Target="media/image78.wmf"/><Relationship Id="rId143" Type="http://schemas.openxmlformats.org/officeDocument/2006/relationships/oleObject" Target="embeddings/oleObject31.bin"/><Relationship Id="rId148" Type="http://schemas.openxmlformats.org/officeDocument/2006/relationships/image" Target="media/image95.wmf"/><Relationship Id="rId164" Type="http://schemas.openxmlformats.org/officeDocument/2006/relationships/image" Target="media/image105.emf"/><Relationship Id="rId169" Type="http://schemas.openxmlformats.org/officeDocument/2006/relationships/image" Target="media/image108.emf"/><Relationship Id="rId185"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15.wmf"/><Relationship Id="rId210" Type="http://schemas.openxmlformats.org/officeDocument/2006/relationships/oleObject" Target="embeddings/oleObject56.bin"/><Relationship Id="rId215" Type="http://schemas.openxmlformats.org/officeDocument/2006/relationships/image" Target="media/image139.png"/><Relationship Id="rId26" Type="http://schemas.openxmlformats.org/officeDocument/2006/relationships/image" Target="media/image17.jpeg"/><Relationship Id="rId47" Type="http://schemas.openxmlformats.org/officeDocument/2006/relationships/chart" Target="charts/chart2.xml"/><Relationship Id="rId68" Type="http://schemas.openxmlformats.org/officeDocument/2006/relationships/image" Target="media/image44.wmf"/><Relationship Id="rId89" Type="http://schemas.openxmlformats.org/officeDocument/2006/relationships/image" Target="media/image61.wmf"/><Relationship Id="rId112" Type="http://schemas.openxmlformats.org/officeDocument/2006/relationships/image" Target="media/image73.wmf"/><Relationship Id="rId133" Type="http://schemas.openxmlformats.org/officeDocument/2006/relationships/image" Target="media/image85.wmf"/><Relationship Id="rId154" Type="http://schemas.openxmlformats.org/officeDocument/2006/relationships/image" Target="media/image98.wmf"/><Relationship Id="rId175" Type="http://schemas.openxmlformats.org/officeDocument/2006/relationships/oleObject" Target="embeddings/oleObject43.bin"/><Relationship Id="rId196" Type="http://schemas.openxmlformats.org/officeDocument/2006/relationships/oleObject" Target="embeddings/oleObject53.bin"/><Relationship Id="rId200" Type="http://schemas.openxmlformats.org/officeDocument/2006/relationships/image" Target="media/image127.emf"/><Relationship Id="rId16" Type="http://schemas.openxmlformats.org/officeDocument/2006/relationships/image" Target="media/image6.emf"/><Relationship Id="rId37" Type="http://schemas.openxmlformats.org/officeDocument/2006/relationships/chart" Target="charts/chart1.xml"/><Relationship Id="rId58" Type="http://schemas.openxmlformats.org/officeDocument/2006/relationships/oleObject" Target="embeddings/oleObject1.bin"/><Relationship Id="rId79" Type="http://schemas.openxmlformats.org/officeDocument/2006/relationships/image" Target="media/image52.png"/><Relationship Id="rId102" Type="http://schemas.openxmlformats.org/officeDocument/2006/relationships/image" Target="media/image68.wmf"/><Relationship Id="rId123" Type="http://schemas.openxmlformats.org/officeDocument/2006/relationships/oleObject" Target="embeddings/oleObject25.bin"/><Relationship Id="rId144" Type="http://schemas.openxmlformats.org/officeDocument/2006/relationships/image" Target="media/image93.wmf"/></Relationships>
</file>

<file path=word/_rels/footnotes.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hyperlink" Target="http://www.prosap.gov.ar/" TargetMode="External"/><Relationship Id="rId1" Type="http://schemas.openxmlformats.org/officeDocument/2006/relationships/hyperlink" Target="http://www.revistaestrategas.com.ar/noticia-357.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rles\SkyDrive\Documents\CONSULTANCY\WORLD%20BANK%20-%20RAMIRO\ARGENTINA\REPORTING\ARGENTINA%20FINAL%20NDVI%20REPORT\Argentina%20NDVI%20tables%20for%20Ppresentation.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plotArea>
      <c:layout/>
      <c:barChart>
        <c:barDir val="col"/>
        <c:grouping val="clustered"/>
        <c:ser>
          <c:idx val="0"/>
          <c:order val="0"/>
          <c:tx>
            <c:strRef>
              <c:f>'Bahia Blanca Cuartle rates'!$BP$60</c:f>
              <c:strCache>
                <c:ptCount val="1"/>
                <c:pt idx="0">
                  <c:v>7 years</c:v>
                </c:pt>
              </c:strCache>
            </c:strRef>
          </c:tx>
          <c:cat>
            <c:numRef>
              <c:f>'Bahia Blanca Cuartle rates'!$BO$61:$BO$88</c:f>
              <c:numCache>
                <c:formatCode>General</c:formatCode>
                <c:ptCount val="28"/>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numCache>
            </c:numRef>
          </c:cat>
          <c:val>
            <c:numRef>
              <c:f>'Bahia Blanca Cuartle rates'!$BP$61:$BP$88</c:f>
              <c:numCache>
                <c:formatCode>0.0%</c:formatCode>
                <c:ptCount val="28"/>
                <c:pt idx="0">
                  <c:v>0</c:v>
                </c:pt>
                <c:pt idx="1">
                  <c:v>0</c:v>
                </c:pt>
                <c:pt idx="2">
                  <c:v>3.8136911026740591E-2</c:v>
                </c:pt>
                <c:pt idx="3">
                  <c:v>0</c:v>
                </c:pt>
                <c:pt idx="4">
                  <c:v>0</c:v>
                </c:pt>
                <c:pt idx="5">
                  <c:v>0</c:v>
                </c:pt>
                <c:pt idx="6">
                  <c:v>7.4678524569782037E-2</c:v>
                </c:pt>
                <c:pt idx="7">
                  <c:v>0.15836313956200629</c:v>
                </c:pt>
                <c:pt idx="8">
                  <c:v>0</c:v>
                </c:pt>
                <c:pt idx="9">
                  <c:v>5.1212502634382706E-2</c:v>
                </c:pt>
                <c:pt idx="10">
                  <c:v>0</c:v>
                </c:pt>
                <c:pt idx="11">
                  <c:v>2.4414258136463016E-2</c:v>
                </c:pt>
                <c:pt idx="12">
                  <c:v>0.30517387027401793</c:v>
                </c:pt>
                <c:pt idx="13">
                  <c:v>0.39132076283548717</c:v>
                </c:pt>
                <c:pt idx="14">
                  <c:v>7.3555059149133808E-2</c:v>
                </c:pt>
                <c:pt idx="15">
                  <c:v>0</c:v>
                </c:pt>
                <c:pt idx="16">
                  <c:v>0</c:v>
                </c:pt>
                <c:pt idx="17">
                  <c:v>0</c:v>
                </c:pt>
                <c:pt idx="18">
                  <c:v>0</c:v>
                </c:pt>
                <c:pt idx="19">
                  <c:v>0</c:v>
                </c:pt>
                <c:pt idx="20">
                  <c:v>0</c:v>
                </c:pt>
                <c:pt idx="21">
                  <c:v>0.15247433566902488</c:v>
                </c:pt>
                <c:pt idx="22">
                  <c:v>0</c:v>
                </c:pt>
                <c:pt idx="23">
                  <c:v>0.14719718554500508</c:v>
                </c:pt>
                <c:pt idx="24">
                  <c:v>0</c:v>
                </c:pt>
                <c:pt idx="25">
                  <c:v>0</c:v>
                </c:pt>
                <c:pt idx="26">
                  <c:v>0.29490511727349794</c:v>
                </c:pt>
                <c:pt idx="27">
                  <c:v>0.30517387027401793</c:v>
                </c:pt>
              </c:numCache>
            </c:numRef>
          </c:val>
        </c:ser>
        <c:ser>
          <c:idx val="1"/>
          <c:order val="1"/>
          <c:tx>
            <c:strRef>
              <c:f>'Bahia Blanca Cuartle rates'!$BQ$60</c:f>
              <c:strCache>
                <c:ptCount val="1"/>
                <c:pt idx="0">
                  <c:v>10 years</c:v>
                </c:pt>
              </c:strCache>
            </c:strRef>
          </c:tx>
          <c:cat>
            <c:numRef>
              <c:f>'Bahia Blanca Cuartle rates'!$BO$61:$BO$88</c:f>
              <c:numCache>
                <c:formatCode>General</c:formatCode>
                <c:ptCount val="28"/>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numCache>
            </c:numRef>
          </c:cat>
          <c:val>
            <c:numRef>
              <c:f>'Bahia Blanca Cuartle rates'!$BQ$61:$BQ$88</c:f>
              <c:numCache>
                <c:formatCode>0.0%</c:formatCode>
                <c:ptCount val="28"/>
                <c:pt idx="0">
                  <c:v>0</c:v>
                </c:pt>
                <c:pt idx="1">
                  <c:v>0</c:v>
                </c:pt>
                <c:pt idx="2">
                  <c:v>0</c:v>
                </c:pt>
                <c:pt idx="3">
                  <c:v>0</c:v>
                </c:pt>
                <c:pt idx="4">
                  <c:v>0</c:v>
                </c:pt>
                <c:pt idx="5">
                  <c:v>0</c:v>
                </c:pt>
                <c:pt idx="6">
                  <c:v>4.0567112267442897E-2</c:v>
                </c:pt>
                <c:pt idx="7">
                  <c:v>8.415432498718943E-2</c:v>
                </c:pt>
                <c:pt idx="8">
                  <c:v>0</c:v>
                </c:pt>
                <c:pt idx="9">
                  <c:v>2.273939602203482E-2</c:v>
                </c:pt>
                <c:pt idx="10">
                  <c:v>0</c:v>
                </c:pt>
                <c:pt idx="11">
                  <c:v>0</c:v>
                </c:pt>
                <c:pt idx="12">
                  <c:v>0.19011705528690989</c:v>
                </c:pt>
                <c:pt idx="13">
                  <c:v>0.33322572621488766</c:v>
                </c:pt>
                <c:pt idx="14">
                  <c:v>2.7819351186667556E-2</c:v>
                </c:pt>
                <c:pt idx="15">
                  <c:v>0</c:v>
                </c:pt>
                <c:pt idx="16">
                  <c:v>0</c:v>
                </c:pt>
                <c:pt idx="17">
                  <c:v>0</c:v>
                </c:pt>
                <c:pt idx="18">
                  <c:v>0</c:v>
                </c:pt>
                <c:pt idx="19">
                  <c:v>0</c:v>
                </c:pt>
                <c:pt idx="20">
                  <c:v>0</c:v>
                </c:pt>
                <c:pt idx="21">
                  <c:v>7.7521901545629004E-2</c:v>
                </c:pt>
                <c:pt idx="22">
                  <c:v>0</c:v>
                </c:pt>
                <c:pt idx="23">
                  <c:v>8.817841297353024E-2</c:v>
                </c:pt>
                <c:pt idx="24">
                  <c:v>0</c:v>
                </c:pt>
                <c:pt idx="25">
                  <c:v>0</c:v>
                </c:pt>
                <c:pt idx="26">
                  <c:v>0.18465196818517926</c:v>
                </c:pt>
                <c:pt idx="27">
                  <c:v>0.19011705528690989</c:v>
                </c:pt>
              </c:numCache>
            </c:numRef>
          </c:val>
        </c:ser>
        <c:ser>
          <c:idx val="2"/>
          <c:order val="2"/>
          <c:tx>
            <c:strRef>
              <c:f>'Bahia Blanca Cuartle rates'!$BR$60</c:f>
              <c:strCache>
                <c:ptCount val="1"/>
                <c:pt idx="0">
                  <c:v>12 years</c:v>
                </c:pt>
              </c:strCache>
            </c:strRef>
          </c:tx>
          <c:cat>
            <c:numRef>
              <c:f>'Bahia Blanca Cuartle rates'!$BO$61:$BO$88</c:f>
              <c:numCache>
                <c:formatCode>General</c:formatCode>
                <c:ptCount val="28"/>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numCache>
            </c:numRef>
          </c:cat>
          <c:val>
            <c:numRef>
              <c:f>'Bahia Blanca Cuartle rates'!$BR$61:$BR$88</c:f>
              <c:numCache>
                <c:formatCode>0.0%</c:formatCode>
                <c:ptCount val="28"/>
                <c:pt idx="0">
                  <c:v>0</c:v>
                </c:pt>
                <c:pt idx="1">
                  <c:v>0</c:v>
                </c:pt>
                <c:pt idx="2">
                  <c:v>0</c:v>
                </c:pt>
                <c:pt idx="3">
                  <c:v>0</c:v>
                </c:pt>
                <c:pt idx="4">
                  <c:v>0</c:v>
                </c:pt>
                <c:pt idx="5">
                  <c:v>0</c:v>
                </c:pt>
                <c:pt idx="6">
                  <c:v>2.4395824309899398E-2</c:v>
                </c:pt>
                <c:pt idx="7">
                  <c:v>4.8973954885800731E-2</c:v>
                </c:pt>
                <c:pt idx="8">
                  <c:v>0</c:v>
                </c:pt>
                <c:pt idx="9">
                  <c:v>0</c:v>
                </c:pt>
                <c:pt idx="10">
                  <c:v>0</c:v>
                </c:pt>
                <c:pt idx="11">
                  <c:v>0</c:v>
                </c:pt>
                <c:pt idx="12">
                  <c:v>0.15452683031071091</c:v>
                </c:pt>
                <c:pt idx="13">
                  <c:v>0.31705443825733748</c:v>
                </c:pt>
                <c:pt idx="14">
                  <c:v>0</c:v>
                </c:pt>
                <c:pt idx="15">
                  <c:v>0</c:v>
                </c:pt>
                <c:pt idx="16">
                  <c:v>0</c:v>
                </c:pt>
                <c:pt idx="17">
                  <c:v>0</c:v>
                </c:pt>
                <c:pt idx="18">
                  <c:v>0</c:v>
                </c:pt>
                <c:pt idx="19">
                  <c:v>0</c:v>
                </c:pt>
                <c:pt idx="20">
                  <c:v>0</c:v>
                </c:pt>
                <c:pt idx="21">
                  <c:v>6.4023580162947832E-2</c:v>
                </c:pt>
                <c:pt idx="22">
                  <c:v>0</c:v>
                </c:pt>
                <c:pt idx="23">
                  <c:v>7.0403345071069295E-2</c:v>
                </c:pt>
                <c:pt idx="24">
                  <c:v>0</c:v>
                </c:pt>
                <c:pt idx="25">
                  <c:v>0</c:v>
                </c:pt>
                <c:pt idx="26">
                  <c:v>0.1507056123251749</c:v>
                </c:pt>
                <c:pt idx="27">
                  <c:v>0.15452683031071091</c:v>
                </c:pt>
              </c:numCache>
            </c:numRef>
          </c:val>
        </c:ser>
        <c:ser>
          <c:idx val="3"/>
          <c:order val="3"/>
          <c:tx>
            <c:strRef>
              <c:f>'Bahia Blanca Cuartle rates'!$BS$60</c:f>
              <c:strCache>
                <c:ptCount val="1"/>
                <c:pt idx="0">
                  <c:v>15 years</c:v>
                </c:pt>
              </c:strCache>
            </c:strRef>
          </c:tx>
          <c:cat>
            <c:numRef>
              <c:f>'Bahia Blanca Cuartle rates'!$BO$61:$BO$88</c:f>
              <c:numCache>
                <c:formatCode>General</c:formatCode>
                <c:ptCount val="28"/>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numCache>
            </c:numRef>
          </c:cat>
          <c:val>
            <c:numRef>
              <c:f>'Bahia Blanca Cuartle rates'!$BS$61:$BS$88</c:f>
              <c:numCache>
                <c:formatCode>0.0%</c:formatCode>
                <c:ptCount val="28"/>
                <c:pt idx="0">
                  <c:v>0</c:v>
                </c:pt>
                <c:pt idx="1">
                  <c:v>0</c:v>
                </c:pt>
                <c:pt idx="2">
                  <c:v>0</c:v>
                </c:pt>
                <c:pt idx="3">
                  <c:v>0</c:v>
                </c:pt>
                <c:pt idx="4">
                  <c:v>0</c:v>
                </c:pt>
                <c:pt idx="5">
                  <c:v>0</c:v>
                </c:pt>
                <c:pt idx="6">
                  <c:v>0</c:v>
                </c:pt>
                <c:pt idx="7">
                  <c:v>0</c:v>
                </c:pt>
                <c:pt idx="8">
                  <c:v>0</c:v>
                </c:pt>
                <c:pt idx="9">
                  <c:v>0</c:v>
                </c:pt>
                <c:pt idx="10">
                  <c:v>0</c:v>
                </c:pt>
                <c:pt idx="11">
                  <c:v>0</c:v>
                </c:pt>
                <c:pt idx="12">
                  <c:v>0.11309536072265362</c:v>
                </c:pt>
                <c:pt idx="13">
                  <c:v>0.29822903814647128</c:v>
                </c:pt>
                <c:pt idx="14">
                  <c:v>0</c:v>
                </c:pt>
                <c:pt idx="15">
                  <c:v>0</c:v>
                </c:pt>
                <c:pt idx="16">
                  <c:v>0</c:v>
                </c:pt>
                <c:pt idx="17">
                  <c:v>0</c:v>
                </c:pt>
                <c:pt idx="18">
                  <c:v>0</c:v>
                </c:pt>
                <c:pt idx="19">
                  <c:v>0</c:v>
                </c:pt>
                <c:pt idx="20">
                  <c:v>0</c:v>
                </c:pt>
                <c:pt idx="21">
                  <c:v>4.8309847186255465E-2</c:v>
                </c:pt>
                <c:pt idx="22">
                  <c:v>0</c:v>
                </c:pt>
                <c:pt idx="23">
                  <c:v>4.9710944679699012E-2</c:v>
                </c:pt>
                <c:pt idx="24">
                  <c:v>0</c:v>
                </c:pt>
                <c:pt idx="25">
                  <c:v>0</c:v>
                </c:pt>
                <c:pt idx="26">
                  <c:v>0.11118781182293687</c:v>
                </c:pt>
                <c:pt idx="27">
                  <c:v>0.11309536072265362</c:v>
                </c:pt>
              </c:numCache>
            </c:numRef>
          </c:val>
        </c:ser>
        <c:axId val="167613952"/>
        <c:axId val="167615872"/>
      </c:barChart>
      <c:catAx>
        <c:axId val="167613952"/>
        <c:scaling>
          <c:orientation val="minMax"/>
        </c:scaling>
        <c:axPos val="b"/>
        <c:numFmt formatCode="General" sourceLinked="1"/>
        <c:tickLblPos val="nextTo"/>
        <c:crossAx val="167615872"/>
        <c:crosses val="autoZero"/>
        <c:auto val="1"/>
        <c:lblAlgn val="ctr"/>
        <c:lblOffset val="100"/>
      </c:catAx>
      <c:valAx>
        <c:axId val="167615872"/>
        <c:scaling>
          <c:orientation val="minMax"/>
          <c:max val="0.4"/>
        </c:scaling>
        <c:axPos val="l"/>
        <c:majorGridlines/>
        <c:title>
          <c:tx>
            <c:rich>
              <a:bodyPr rot="-5400000" vert="horz"/>
              <a:lstStyle/>
              <a:p>
                <a:pPr>
                  <a:defRPr sz="1000">
                    <a:latin typeface="Times New Roman" pitchFamily="18" charset="0"/>
                    <a:cs typeface="Times New Roman" pitchFamily="18" charset="0"/>
                  </a:defRPr>
                </a:pPr>
                <a:r>
                  <a:rPr lang="en-GB" sz="1000">
                    <a:latin typeface="Times New Roman" pitchFamily="18" charset="0"/>
                    <a:cs typeface="Times New Roman" pitchFamily="18" charset="0"/>
                  </a:rPr>
                  <a:t>Annual Loss Cost (% of TSI)</a:t>
                </a:r>
              </a:p>
            </c:rich>
          </c:tx>
        </c:title>
        <c:numFmt formatCode="0.0%" sourceLinked="1"/>
        <c:tickLblPos val="nextTo"/>
        <c:crossAx val="167613952"/>
        <c:crosses val="autoZero"/>
        <c:crossBetween val="between"/>
      </c:valAx>
    </c:plotArea>
    <c:legend>
      <c:legendPos val="b"/>
      <c:layout>
        <c:manualLayout>
          <c:xMode val="edge"/>
          <c:yMode val="edge"/>
          <c:x val="0.257216817297376"/>
          <c:y val="0.88578526962108073"/>
          <c:w val="0.48556641695845776"/>
          <c:h val="8.1199365970820975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style val="35"/>
  <c:chart>
    <c:plotArea>
      <c:layout>
        <c:manualLayout>
          <c:layoutTarget val="inner"/>
          <c:xMode val="edge"/>
          <c:yMode val="edge"/>
          <c:x val="0.1251745730857623"/>
          <c:y val="4.4057617797775533E-2"/>
          <c:w val="0.52065876024756153"/>
          <c:h val="0.82705005624296968"/>
        </c:manualLayout>
      </c:layout>
      <c:barChart>
        <c:barDir val="col"/>
        <c:grouping val="stacked"/>
        <c:ser>
          <c:idx val="0"/>
          <c:order val="0"/>
          <c:tx>
            <c:strRef>
              <c:f>Sheet1!$B$1</c:f>
              <c:strCache>
                <c:ptCount val="1"/>
                <c:pt idx="0">
                  <c:v>Agricultural Producers</c:v>
                </c:pt>
              </c:strCache>
            </c:strRef>
          </c:tx>
          <c:cat>
            <c:strRef>
              <c:f>Sheet1!$A$2:$A$6</c:f>
              <c:strCache>
                <c:ptCount val="5"/>
                <c:pt idx="0">
                  <c:v>Minor</c:v>
                </c:pt>
                <c:pt idx="1">
                  <c:v>Small</c:v>
                </c:pt>
                <c:pt idx="2">
                  <c:v>Medium</c:v>
                </c:pt>
                <c:pt idx="3">
                  <c:v>Large</c:v>
                </c:pt>
                <c:pt idx="4">
                  <c:v>Catastrophic</c:v>
                </c:pt>
              </c:strCache>
            </c:strRef>
          </c:cat>
          <c:val>
            <c:numRef>
              <c:f>Sheet1!$B$2:$B$6</c:f>
              <c:numCache>
                <c:formatCode>General</c:formatCode>
                <c:ptCount val="5"/>
                <c:pt idx="0">
                  <c:v>5</c:v>
                </c:pt>
                <c:pt idx="1">
                  <c:v>10</c:v>
                </c:pt>
                <c:pt idx="2">
                  <c:v>10</c:v>
                </c:pt>
                <c:pt idx="3">
                  <c:v>10</c:v>
                </c:pt>
                <c:pt idx="4">
                  <c:v>10</c:v>
                </c:pt>
              </c:numCache>
            </c:numRef>
          </c:val>
        </c:ser>
        <c:ser>
          <c:idx val="1"/>
          <c:order val="1"/>
          <c:tx>
            <c:strRef>
              <c:f>Sheet1!$C$1</c:f>
              <c:strCache>
                <c:ptCount val="1"/>
                <c:pt idx="0">
                  <c:v>Cooperatives/Mutuals</c:v>
                </c:pt>
              </c:strCache>
            </c:strRef>
          </c:tx>
          <c:cat>
            <c:strRef>
              <c:f>Sheet1!$A$2:$A$6</c:f>
              <c:strCache>
                <c:ptCount val="5"/>
                <c:pt idx="0">
                  <c:v>Minor</c:v>
                </c:pt>
                <c:pt idx="1">
                  <c:v>Small</c:v>
                </c:pt>
                <c:pt idx="2">
                  <c:v>Medium</c:v>
                </c:pt>
                <c:pt idx="3">
                  <c:v>Large</c:v>
                </c:pt>
                <c:pt idx="4">
                  <c:v>Catastrophic</c:v>
                </c:pt>
              </c:strCache>
            </c:strRef>
          </c:cat>
          <c:val>
            <c:numRef>
              <c:f>Sheet1!$C$2:$C$6</c:f>
              <c:numCache>
                <c:formatCode>General</c:formatCode>
                <c:ptCount val="5"/>
                <c:pt idx="0">
                  <c:v>0</c:v>
                </c:pt>
                <c:pt idx="1">
                  <c:v>5</c:v>
                </c:pt>
                <c:pt idx="2">
                  <c:v>10</c:v>
                </c:pt>
                <c:pt idx="3">
                  <c:v>10</c:v>
                </c:pt>
                <c:pt idx="4">
                  <c:v>10</c:v>
                </c:pt>
              </c:numCache>
            </c:numRef>
          </c:val>
        </c:ser>
        <c:ser>
          <c:idx val="2"/>
          <c:order val="2"/>
          <c:tx>
            <c:strRef>
              <c:f>Sheet1!$D$1</c:f>
              <c:strCache>
                <c:ptCount val="1"/>
                <c:pt idx="0">
                  <c:v>Insurers</c:v>
                </c:pt>
              </c:strCache>
            </c:strRef>
          </c:tx>
          <c:cat>
            <c:strRef>
              <c:f>Sheet1!$A$2:$A$6</c:f>
              <c:strCache>
                <c:ptCount val="5"/>
                <c:pt idx="0">
                  <c:v>Minor</c:v>
                </c:pt>
                <c:pt idx="1">
                  <c:v>Small</c:v>
                </c:pt>
                <c:pt idx="2">
                  <c:v>Medium</c:v>
                </c:pt>
                <c:pt idx="3">
                  <c:v>Large</c:v>
                </c:pt>
                <c:pt idx="4">
                  <c:v>Catastrophic</c:v>
                </c:pt>
              </c:strCache>
            </c:strRef>
          </c:cat>
          <c:val>
            <c:numRef>
              <c:f>Sheet1!$D$2:$D$6</c:f>
              <c:numCache>
                <c:formatCode>General</c:formatCode>
                <c:ptCount val="5"/>
                <c:pt idx="0">
                  <c:v>0</c:v>
                </c:pt>
                <c:pt idx="1">
                  <c:v>0</c:v>
                </c:pt>
                <c:pt idx="2">
                  <c:v>5</c:v>
                </c:pt>
                <c:pt idx="3">
                  <c:v>10</c:v>
                </c:pt>
                <c:pt idx="4">
                  <c:v>10</c:v>
                </c:pt>
              </c:numCache>
            </c:numRef>
          </c:val>
        </c:ser>
        <c:ser>
          <c:idx val="3"/>
          <c:order val="3"/>
          <c:tx>
            <c:strRef>
              <c:f>Sheet1!$E$1</c:f>
              <c:strCache>
                <c:ptCount val="1"/>
                <c:pt idx="0">
                  <c:v>Reinsurers</c:v>
                </c:pt>
              </c:strCache>
            </c:strRef>
          </c:tx>
          <c:cat>
            <c:strRef>
              <c:f>Sheet1!$A$2:$A$6</c:f>
              <c:strCache>
                <c:ptCount val="5"/>
                <c:pt idx="0">
                  <c:v>Minor</c:v>
                </c:pt>
                <c:pt idx="1">
                  <c:v>Small</c:v>
                </c:pt>
                <c:pt idx="2">
                  <c:v>Medium</c:v>
                </c:pt>
                <c:pt idx="3">
                  <c:v>Large</c:v>
                </c:pt>
                <c:pt idx="4">
                  <c:v>Catastrophic</c:v>
                </c:pt>
              </c:strCache>
            </c:strRef>
          </c:cat>
          <c:val>
            <c:numRef>
              <c:f>Sheet1!$E$2:$E$6</c:f>
              <c:numCache>
                <c:formatCode>General</c:formatCode>
                <c:ptCount val="5"/>
                <c:pt idx="0">
                  <c:v>0</c:v>
                </c:pt>
                <c:pt idx="1">
                  <c:v>0</c:v>
                </c:pt>
                <c:pt idx="2">
                  <c:v>0</c:v>
                </c:pt>
                <c:pt idx="3">
                  <c:v>5</c:v>
                </c:pt>
                <c:pt idx="4">
                  <c:v>10</c:v>
                </c:pt>
              </c:numCache>
            </c:numRef>
          </c:val>
        </c:ser>
        <c:ser>
          <c:idx val="4"/>
          <c:order val="4"/>
          <c:tx>
            <c:strRef>
              <c:f>Sheet1!$F$1</c:f>
              <c:strCache>
                <c:ptCount val="1"/>
                <c:pt idx="0">
                  <c:v>Goverments</c:v>
                </c:pt>
              </c:strCache>
            </c:strRef>
          </c:tx>
          <c:cat>
            <c:strRef>
              <c:f>Sheet1!$A$2:$A$6</c:f>
              <c:strCache>
                <c:ptCount val="5"/>
                <c:pt idx="0">
                  <c:v>Minor</c:v>
                </c:pt>
                <c:pt idx="1">
                  <c:v>Small</c:v>
                </c:pt>
                <c:pt idx="2">
                  <c:v>Medium</c:v>
                </c:pt>
                <c:pt idx="3">
                  <c:v>Large</c:v>
                </c:pt>
                <c:pt idx="4">
                  <c:v>Catastrophic</c:v>
                </c:pt>
              </c:strCache>
            </c:strRef>
          </c:cat>
          <c:val>
            <c:numRef>
              <c:f>Sheet1!$F$2:$F$6</c:f>
              <c:numCache>
                <c:formatCode>General</c:formatCode>
                <c:ptCount val="5"/>
                <c:pt idx="0">
                  <c:v>0</c:v>
                </c:pt>
                <c:pt idx="1">
                  <c:v>0</c:v>
                </c:pt>
                <c:pt idx="2">
                  <c:v>0</c:v>
                </c:pt>
                <c:pt idx="3">
                  <c:v>0</c:v>
                </c:pt>
                <c:pt idx="4">
                  <c:v>5</c:v>
                </c:pt>
              </c:numCache>
            </c:numRef>
          </c:val>
        </c:ser>
        <c:overlap val="100"/>
        <c:axId val="167600512"/>
        <c:axId val="167602432"/>
      </c:barChart>
      <c:catAx>
        <c:axId val="167600512"/>
        <c:scaling>
          <c:orientation val="minMax"/>
        </c:scaling>
        <c:axPos val="b"/>
        <c:title>
          <c:tx>
            <c:rich>
              <a:bodyPr/>
              <a:lstStyle/>
              <a:p>
                <a:pPr algn="l">
                  <a:defRPr sz="790" b="1" i="0" u="none" strike="noStrike" baseline="0">
                    <a:solidFill>
                      <a:srgbClr val="000000"/>
                    </a:solidFill>
                    <a:latin typeface="Calibri"/>
                    <a:ea typeface="Calibri"/>
                    <a:cs typeface="Calibri"/>
                  </a:defRPr>
                </a:pPr>
                <a:r>
                  <a:rPr lang="es-AR"/>
                  <a:t>Type of Event:</a:t>
                </a:r>
              </a:p>
            </c:rich>
          </c:tx>
          <c:layout>
            <c:manualLayout>
              <c:xMode val="edge"/>
              <c:yMode val="edge"/>
              <c:x val="1.2474911224332281E-3"/>
              <c:y val="0.90601908406309062"/>
            </c:manualLayout>
          </c:layout>
        </c:title>
        <c:numFmt formatCode="General" sourceLinked="1"/>
        <c:tickLblPos val="nextTo"/>
        <c:txPr>
          <a:bodyPr/>
          <a:lstStyle/>
          <a:p>
            <a:pPr>
              <a:defRPr lang="en-GB" sz="699"/>
            </a:pPr>
            <a:endParaRPr lang="es-AR"/>
          </a:p>
        </c:txPr>
        <c:crossAx val="167602432"/>
        <c:crosses val="autoZero"/>
        <c:auto val="1"/>
        <c:lblAlgn val="ctr"/>
        <c:lblOffset val="100"/>
      </c:catAx>
      <c:valAx>
        <c:axId val="167602432"/>
        <c:scaling>
          <c:orientation val="minMax"/>
        </c:scaling>
        <c:axPos val="l"/>
        <c:majorGridlines>
          <c:spPr>
            <a:ln w="6336">
              <a:solidFill>
                <a:schemeClr val="accent1"/>
              </a:solidFill>
              <a:prstDash val="sysDot"/>
            </a:ln>
          </c:spPr>
        </c:majorGridlines>
        <c:title>
          <c:tx>
            <c:rich>
              <a:bodyPr rot="0" vert="horz"/>
              <a:lstStyle/>
              <a:p>
                <a:pPr algn="ctr">
                  <a:defRPr sz="1098" b="0" i="0" u="none" strike="noStrike" baseline="0">
                    <a:solidFill>
                      <a:srgbClr val="000000"/>
                    </a:solidFill>
                    <a:latin typeface="Calibri"/>
                    <a:ea typeface="Calibri"/>
                    <a:cs typeface="Calibri"/>
                  </a:defRPr>
                </a:pPr>
                <a:r>
                  <a:rPr lang="es-AR" sz="790" b="1" i="0" u="none" strike="noStrike" baseline="0">
                    <a:solidFill>
                      <a:srgbClr val="000000"/>
                    </a:solidFill>
                    <a:latin typeface="Calibri"/>
                    <a:cs typeface="Calibri"/>
                  </a:rPr>
                  <a:t>Size of </a:t>
                </a:r>
              </a:p>
              <a:p>
                <a:pPr algn="ctr">
                  <a:defRPr sz="1098" b="0" i="0" u="none" strike="noStrike" baseline="0">
                    <a:solidFill>
                      <a:srgbClr val="000000"/>
                    </a:solidFill>
                    <a:latin typeface="Calibri"/>
                    <a:ea typeface="Calibri"/>
                    <a:cs typeface="Calibri"/>
                  </a:defRPr>
                </a:pPr>
                <a:r>
                  <a:rPr lang="es-AR" sz="790" b="1" i="0" u="none" strike="noStrike" baseline="0">
                    <a:solidFill>
                      <a:srgbClr val="000000"/>
                    </a:solidFill>
                    <a:latin typeface="Calibri"/>
                    <a:cs typeface="Calibri"/>
                  </a:rPr>
                  <a:t>the Loss</a:t>
                </a:r>
              </a:p>
            </c:rich>
          </c:tx>
          <c:layout>
            <c:manualLayout>
              <c:xMode val="edge"/>
              <c:yMode val="edge"/>
              <c:x val="0"/>
              <c:y val="5.0997130031644924E-2"/>
            </c:manualLayout>
          </c:layout>
        </c:title>
        <c:numFmt formatCode="General" sourceLinked="1"/>
        <c:tickLblPos val="nextTo"/>
        <c:txPr>
          <a:bodyPr/>
          <a:lstStyle/>
          <a:p>
            <a:pPr>
              <a:defRPr lang="en-GB" baseline="0">
                <a:solidFill>
                  <a:schemeClr val="bg1"/>
                </a:solidFill>
              </a:defRPr>
            </a:pPr>
            <a:endParaRPr lang="es-AR"/>
          </a:p>
        </c:txPr>
        <c:crossAx val="167600512"/>
        <c:crosses val="autoZero"/>
        <c:crossBetween val="between"/>
        <c:majorUnit val="10"/>
      </c:valAx>
      <c:spPr>
        <a:noFill/>
        <a:ln w="25385">
          <a:noFill/>
        </a:ln>
      </c:spPr>
    </c:plotArea>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0.65995</cdr:x>
      <cdr:y>0.72653</cdr:y>
    </cdr:from>
    <cdr:to>
      <cdr:x>0.81882</cdr:x>
      <cdr:y>0.86939</cdr:y>
    </cdr:to>
    <cdr:sp macro="" textlink="">
      <cdr:nvSpPr>
        <cdr:cNvPr id="2" name="Rounded Rectangle 1"/>
        <cdr:cNvSpPr/>
      </cdr:nvSpPr>
      <cdr:spPr>
        <a:xfrm xmlns:a="http://schemas.openxmlformats.org/drawingml/2006/main">
          <a:off x="3798851" y="2192329"/>
          <a:ext cx="914495" cy="431074"/>
        </a:xfrm>
        <a:prstGeom xmlns:a="http://schemas.openxmlformats.org/drawingml/2006/main" prst="roundRect">
          <a:avLst/>
        </a:prstGeom>
        <a:solidFill xmlns:a="http://schemas.openxmlformats.org/drawingml/2006/main">
          <a:schemeClr val="accent1">
            <a:lumMod val="75000"/>
          </a:schemeClr>
        </a:solidFill>
        <a:ln xmlns:a="http://schemas.openxmlformats.org/drawingml/2006/main" w="9525">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p xmlns:a="http://schemas.openxmlformats.org/drawingml/2006/main">
          <a:pPr algn="ctr"/>
          <a:r>
            <a:rPr lang="en-US" sz="800">
              <a:solidFill>
                <a:sysClr val="windowText" lastClr="000000"/>
              </a:solidFill>
              <a:latin typeface="+mn-lt"/>
            </a:rPr>
            <a:t>Agricultural Producers</a:t>
          </a:r>
        </a:p>
      </cdr:txBody>
    </cdr:sp>
  </cdr:relSizeAnchor>
  <cdr:relSizeAnchor xmlns:cdr="http://schemas.openxmlformats.org/drawingml/2006/chartDrawing">
    <cdr:from>
      <cdr:x>0.65995</cdr:x>
      <cdr:y>0.54712</cdr:y>
    </cdr:from>
    <cdr:to>
      <cdr:x>0.81882</cdr:x>
      <cdr:y>0.68997</cdr:y>
    </cdr:to>
    <cdr:sp macro="" textlink="">
      <cdr:nvSpPr>
        <cdr:cNvPr id="3" name="Rounded Rectangle 2"/>
        <cdr:cNvSpPr/>
      </cdr:nvSpPr>
      <cdr:spPr>
        <a:xfrm xmlns:a="http://schemas.openxmlformats.org/drawingml/2006/main">
          <a:off x="3798851" y="1650934"/>
          <a:ext cx="914495" cy="431075"/>
        </a:xfrm>
        <a:prstGeom xmlns:a="http://schemas.openxmlformats.org/drawingml/2006/main" prst="roundRect">
          <a:avLst/>
        </a:prstGeom>
        <a:solidFill xmlns:a="http://schemas.openxmlformats.org/drawingml/2006/main">
          <a:schemeClr val="accent1"/>
        </a:solidFill>
        <a:ln xmlns:a="http://schemas.openxmlformats.org/drawingml/2006/main" w="9525" cap="flat" cmpd="sng" algn="ctr">
          <a:solidFill>
            <a:schemeClr val="tx2"/>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800">
              <a:solidFill>
                <a:sysClr val="windowText" lastClr="000000"/>
              </a:solidFill>
              <a:latin typeface="+mn-lt"/>
            </a:rPr>
            <a:t>Cooperatives &amp; Mutuals</a:t>
          </a:r>
        </a:p>
      </cdr:txBody>
    </cdr:sp>
  </cdr:relSizeAnchor>
  <cdr:relSizeAnchor xmlns:cdr="http://schemas.openxmlformats.org/drawingml/2006/chartDrawing">
    <cdr:from>
      <cdr:x>0.65995</cdr:x>
      <cdr:y>0.38741</cdr:y>
    </cdr:from>
    <cdr:to>
      <cdr:x>0.81882</cdr:x>
      <cdr:y>0.53027</cdr:y>
    </cdr:to>
    <cdr:sp macro="" textlink="">
      <cdr:nvSpPr>
        <cdr:cNvPr id="4" name="Rounded Rectangle 3"/>
        <cdr:cNvSpPr/>
      </cdr:nvSpPr>
      <cdr:spPr>
        <a:xfrm xmlns:a="http://schemas.openxmlformats.org/drawingml/2006/main">
          <a:off x="3798455" y="1251037"/>
          <a:ext cx="914400" cy="461319"/>
        </a:xfrm>
        <a:prstGeom xmlns:a="http://schemas.openxmlformats.org/drawingml/2006/main" prst="roundRect">
          <a:avLst/>
        </a:prstGeom>
        <a:solidFill xmlns:a="http://schemas.openxmlformats.org/drawingml/2006/main">
          <a:srgbClr val="4F81BD"/>
        </a:solidFill>
        <a:ln xmlns:a="http://schemas.openxmlformats.org/drawingml/2006/main" w="9525" cap="flat" cmpd="sng" algn="ctr">
          <a:solidFill>
            <a:schemeClr val="tx2"/>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800">
              <a:solidFill>
                <a:sysClr val="windowText" lastClr="000000"/>
              </a:solidFill>
              <a:latin typeface="+mn-lt"/>
            </a:rPr>
            <a:t>Insurance Companies</a:t>
          </a:r>
        </a:p>
      </cdr:txBody>
    </cdr:sp>
  </cdr:relSizeAnchor>
  <cdr:relSizeAnchor xmlns:cdr="http://schemas.openxmlformats.org/drawingml/2006/chartDrawing">
    <cdr:from>
      <cdr:x>0.65995</cdr:x>
      <cdr:y>0.22751</cdr:y>
    </cdr:from>
    <cdr:to>
      <cdr:x>0.81882</cdr:x>
      <cdr:y>0.37036</cdr:y>
    </cdr:to>
    <cdr:sp macro="" textlink="">
      <cdr:nvSpPr>
        <cdr:cNvPr id="5" name="Rounded Rectangle 4"/>
        <cdr:cNvSpPr/>
      </cdr:nvSpPr>
      <cdr:spPr>
        <a:xfrm xmlns:a="http://schemas.openxmlformats.org/drawingml/2006/main">
          <a:off x="3798851" y="686505"/>
          <a:ext cx="914495" cy="431074"/>
        </a:xfrm>
        <a:prstGeom xmlns:a="http://schemas.openxmlformats.org/drawingml/2006/main" prst="roundRect">
          <a:avLst/>
        </a:prstGeom>
        <a:solidFill xmlns:a="http://schemas.openxmlformats.org/drawingml/2006/main">
          <a:schemeClr val="accent1">
            <a:lumMod val="60000"/>
            <a:lumOff val="40000"/>
          </a:schemeClr>
        </a:solidFill>
        <a:ln xmlns:a="http://schemas.openxmlformats.org/drawingml/2006/main" w="9525" cap="flat" cmpd="sng" algn="ctr">
          <a:solidFill>
            <a:schemeClr val="tx2"/>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800">
              <a:solidFill>
                <a:sysClr val="windowText" lastClr="000000"/>
              </a:solidFill>
              <a:latin typeface="+mn-lt"/>
            </a:rPr>
            <a:t>Reinsurers</a:t>
          </a:r>
        </a:p>
      </cdr:txBody>
    </cdr:sp>
  </cdr:relSizeAnchor>
  <cdr:relSizeAnchor xmlns:cdr="http://schemas.openxmlformats.org/drawingml/2006/chartDrawing">
    <cdr:from>
      <cdr:x>0.65995</cdr:x>
      <cdr:y>0.06233</cdr:y>
    </cdr:from>
    <cdr:to>
      <cdr:x>0.81882</cdr:x>
      <cdr:y>0.20519</cdr:y>
    </cdr:to>
    <cdr:sp macro="" textlink="">
      <cdr:nvSpPr>
        <cdr:cNvPr id="6" name="Rounded Rectangle 5"/>
        <cdr:cNvSpPr/>
      </cdr:nvSpPr>
      <cdr:spPr>
        <a:xfrm xmlns:a="http://schemas.openxmlformats.org/drawingml/2006/main">
          <a:off x="3798851" y="188085"/>
          <a:ext cx="914495" cy="431073"/>
        </a:xfrm>
        <a:prstGeom xmlns:a="http://schemas.openxmlformats.org/drawingml/2006/main" prst="roundRect">
          <a:avLst/>
        </a:prstGeom>
        <a:solidFill xmlns:a="http://schemas.openxmlformats.org/drawingml/2006/main">
          <a:schemeClr val="tx2">
            <a:lumMod val="20000"/>
            <a:lumOff val="80000"/>
          </a:schemeClr>
        </a:solidFill>
        <a:ln xmlns:a="http://schemas.openxmlformats.org/drawingml/2006/main" w="9525" cap="flat" cmpd="sng" algn="ctr">
          <a:solidFill>
            <a:schemeClr val="tx2"/>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800">
              <a:solidFill>
                <a:sysClr val="windowText" lastClr="000000"/>
              </a:solidFill>
              <a:latin typeface="+mn-lt"/>
            </a:rPr>
            <a:t>Government</a:t>
          </a:r>
        </a:p>
      </cdr:txBody>
    </cdr:sp>
  </cdr:relSizeAnchor>
  <cdr:relSizeAnchor xmlns:cdr="http://schemas.openxmlformats.org/drawingml/2006/chartDrawing">
    <cdr:from>
      <cdr:x>0.85703</cdr:x>
      <cdr:y>0.72653</cdr:y>
    </cdr:from>
    <cdr:to>
      <cdr:x>1</cdr:x>
      <cdr:y>0.86939</cdr:y>
    </cdr:to>
    <cdr:sp macro="" textlink="">
      <cdr:nvSpPr>
        <cdr:cNvPr id="7" name="Rounded Rectangle 6"/>
        <cdr:cNvSpPr/>
      </cdr:nvSpPr>
      <cdr:spPr>
        <a:xfrm xmlns:a="http://schemas.openxmlformats.org/drawingml/2006/main">
          <a:off x="4940128" y="2192330"/>
          <a:ext cx="822960" cy="431073"/>
        </a:xfrm>
        <a:prstGeom xmlns:a="http://schemas.openxmlformats.org/drawingml/2006/main" prst="roundRect">
          <a:avLst/>
        </a:prstGeom>
        <a:noFill xmlns:a="http://schemas.openxmlformats.org/drawingml/2006/main"/>
        <a:ln xmlns:a="http://schemas.openxmlformats.org/drawingml/2006/main" w="9525"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a:r>
            <a:rPr lang="en-US" sz="800">
              <a:solidFill>
                <a:sysClr val="windowText" lastClr="000000"/>
              </a:solidFill>
              <a:latin typeface="Calibri"/>
            </a:rPr>
            <a:t>Risk Retention</a:t>
          </a:r>
        </a:p>
      </cdr:txBody>
    </cdr:sp>
  </cdr:relSizeAnchor>
  <cdr:relSizeAnchor xmlns:cdr="http://schemas.openxmlformats.org/drawingml/2006/chartDrawing">
    <cdr:from>
      <cdr:x>0.85822</cdr:x>
      <cdr:y>0.54712</cdr:y>
    </cdr:from>
    <cdr:to>
      <cdr:x>0.98712</cdr:x>
      <cdr:y>0.68997</cdr:y>
    </cdr:to>
    <cdr:sp macro="" textlink="">
      <cdr:nvSpPr>
        <cdr:cNvPr id="8" name="Rounded Rectangle 7"/>
        <cdr:cNvSpPr/>
      </cdr:nvSpPr>
      <cdr:spPr>
        <a:xfrm xmlns:a="http://schemas.openxmlformats.org/drawingml/2006/main">
          <a:off x="4940128" y="1650935"/>
          <a:ext cx="742006" cy="431073"/>
        </a:xfrm>
        <a:prstGeom xmlns:a="http://schemas.openxmlformats.org/drawingml/2006/main" prst="roundRect">
          <a:avLst/>
        </a:prstGeom>
        <a:noFill xmlns:a="http://schemas.openxmlformats.org/drawingml/2006/main"/>
        <a:ln xmlns:a="http://schemas.openxmlformats.org/drawingml/2006/main" w="9525"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a:r>
            <a:rPr lang="en-US" sz="800">
              <a:solidFill>
                <a:sysClr val="windowText" lastClr="000000"/>
              </a:solidFill>
              <a:latin typeface="Calibri"/>
            </a:rPr>
            <a:t>Risk </a:t>
          </a:r>
          <a:r>
            <a:rPr lang="en-US" sz="800">
              <a:solidFill>
                <a:sysClr val="windowText" lastClr="000000"/>
              </a:solidFill>
              <a:latin typeface="Calibri"/>
              <a:ea typeface="+mn-ea"/>
              <a:cs typeface="+mn-cs"/>
            </a:rPr>
            <a:t>pool</a:t>
          </a:r>
          <a:r>
            <a:rPr lang="en-US" sz="800">
              <a:solidFill>
                <a:sysClr val="windowText" lastClr="000000"/>
              </a:solidFill>
              <a:latin typeface="Calibri"/>
            </a:rPr>
            <a:t>ing</a:t>
          </a:r>
        </a:p>
      </cdr:txBody>
    </cdr:sp>
  </cdr:relSizeAnchor>
  <cdr:relSizeAnchor xmlns:cdr="http://schemas.openxmlformats.org/drawingml/2006/chartDrawing">
    <cdr:from>
      <cdr:x>0.85703</cdr:x>
      <cdr:y>0.22751</cdr:y>
    </cdr:from>
    <cdr:to>
      <cdr:x>1</cdr:x>
      <cdr:y>0.34872</cdr:y>
    </cdr:to>
    <cdr:sp macro="" textlink="">
      <cdr:nvSpPr>
        <cdr:cNvPr id="9" name="Rounded Rectangle 8"/>
        <cdr:cNvSpPr/>
      </cdr:nvSpPr>
      <cdr:spPr>
        <a:xfrm xmlns:a="http://schemas.openxmlformats.org/drawingml/2006/main">
          <a:off x="4940128" y="686505"/>
          <a:ext cx="822960" cy="365760"/>
        </a:xfrm>
        <a:prstGeom xmlns:a="http://schemas.openxmlformats.org/drawingml/2006/main" prst="roundRect">
          <a:avLst/>
        </a:prstGeom>
        <a:noFill xmlns:a="http://schemas.openxmlformats.org/drawingml/2006/main"/>
        <a:ln xmlns:a="http://schemas.openxmlformats.org/drawingml/2006/main" w="9525"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a:r>
            <a:rPr lang="en-US" sz="800">
              <a:solidFill>
                <a:sysClr val="windowText" lastClr="000000"/>
              </a:solidFill>
              <a:latin typeface="Calibri"/>
            </a:rPr>
            <a:t>Risk</a:t>
          </a:r>
          <a:r>
            <a:rPr lang="en-US" sz="800">
              <a:solidFill>
                <a:sysClr val="windowText" lastClr="000000"/>
              </a:solidFill>
              <a:latin typeface="Calibri"/>
              <a:ea typeface="+mn-ea"/>
              <a:cs typeface="+mn-cs"/>
            </a:rPr>
            <a:t> </a:t>
          </a:r>
          <a:r>
            <a:rPr lang="en-US" sz="800">
              <a:solidFill>
                <a:sysClr val="windowText" lastClr="000000"/>
              </a:solidFill>
              <a:latin typeface="Calibri"/>
            </a:rPr>
            <a:t>Transfer</a:t>
          </a:r>
        </a:p>
      </cdr:txBody>
    </cdr:sp>
  </cdr:relSizeAnchor>
  <cdr:relSizeAnchor xmlns:cdr="http://schemas.openxmlformats.org/drawingml/2006/chartDrawing">
    <cdr:from>
      <cdr:x>0.84677</cdr:x>
      <cdr:y>0.06552</cdr:y>
    </cdr:from>
    <cdr:to>
      <cdr:x>0.84677</cdr:x>
      <cdr:y>0.53235</cdr:y>
    </cdr:to>
    <cdr:sp macro="" textlink="">
      <cdr:nvSpPr>
        <cdr:cNvPr id="14" name="Straight Connector 13"/>
        <cdr:cNvSpPr/>
      </cdr:nvSpPr>
      <cdr:spPr>
        <a:xfrm xmlns:a="http://schemas.openxmlformats.org/drawingml/2006/main" rot="5400000">
          <a:off x="4169891" y="902042"/>
          <a:ext cx="140867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0.84591</cdr:x>
      <cdr:y>0.55029</cdr:y>
    </cdr:from>
    <cdr:to>
      <cdr:x>0.84619</cdr:x>
      <cdr:y>0.68679</cdr:y>
    </cdr:to>
    <cdr:sp macro="" textlink="">
      <cdr:nvSpPr>
        <cdr:cNvPr id="17" name="Straight Connector 16"/>
        <cdr:cNvSpPr/>
      </cdr:nvSpPr>
      <cdr:spPr>
        <a:xfrm xmlns:a="http://schemas.openxmlformats.org/drawingml/2006/main" rot="5400000">
          <a:off x="4664161" y="1865677"/>
          <a:ext cx="411892" cy="15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dr:relSizeAnchor xmlns:cdr="http://schemas.openxmlformats.org/drawingml/2006/chartDrawing">
    <cdr:from>
      <cdr:x>0.84605</cdr:x>
      <cdr:y>0.7222</cdr:y>
    </cdr:from>
    <cdr:to>
      <cdr:x>0.84605</cdr:x>
      <cdr:y>0.87372</cdr:y>
    </cdr:to>
    <cdr:sp macro="" textlink="">
      <cdr:nvSpPr>
        <cdr:cNvPr id="19" name="Straight Connector 18"/>
        <cdr:cNvSpPr/>
      </cdr:nvSpPr>
      <cdr:spPr>
        <a:xfrm xmlns:a="http://schemas.openxmlformats.org/drawingml/2006/main" rot="5400000">
          <a:off x="4641507" y="2407866"/>
          <a:ext cx="4572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EE6FC-4CE8-4FD7-BAB0-32E4C4472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47970</Words>
  <Characters>263839</Characters>
  <Application>Microsoft Office Word</Application>
  <DocSecurity>0</DocSecurity>
  <Lines>2198</Lines>
  <Paragraphs>622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DRAFT MAIN REPORT – NOT FOR CIRCULATION</vt:lpstr>
      <vt:lpstr>DRAFT MAIN REPORT – NOT FOR CIRCULATION</vt:lpstr>
    </vt:vector>
  </TitlesOfParts>
  <Company>The World Bank Group</Company>
  <LinksUpToDate>false</LinksUpToDate>
  <CharactersWithSpaces>311187</CharactersWithSpaces>
  <SharedDoc>false</SharedDoc>
  <HLinks>
    <vt:vector size="114" baseType="variant">
      <vt:variant>
        <vt:i4>4980822</vt:i4>
      </vt:variant>
      <vt:variant>
        <vt:i4>129</vt:i4>
      </vt:variant>
      <vt:variant>
        <vt:i4>0</vt:i4>
      </vt:variant>
      <vt:variant>
        <vt:i4>5</vt:i4>
      </vt:variant>
      <vt:variant>
        <vt:lpwstr>http://www.produccion.animal.com.ar/</vt:lpwstr>
      </vt:variant>
      <vt:variant>
        <vt:lpwstr/>
      </vt:variant>
      <vt:variant>
        <vt:i4>4784214</vt:i4>
      </vt:variant>
      <vt:variant>
        <vt:i4>126</vt:i4>
      </vt:variant>
      <vt:variant>
        <vt:i4>0</vt:i4>
      </vt:variant>
      <vt:variant>
        <vt:i4>5</vt:i4>
      </vt:variant>
      <vt:variant>
        <vt:lpwstr>http://www1.hcdn.gov.ar/proyxml/expediente.asp?fundamentos=si&amp;numexp=2970-D-2012</vt:lpwstr>
      </vt:variant>
      <vt:variant>
        <vt:lpwstr/>
      </vt:variant>
      <vt:variant>
        <vt:i4>5177430</vt:i4>
      </vt:variant>
      <vt:variant>
        <vt:i4>123</vt:i4>
      </vt:variant>
      <vt:variant>
        <vt:i4>0</vt:i4>
      </vt:variant>
      <vt:variant>
        <vt:i4>5</vt:i4>
      </vt:variant>
      <vt:variant>
        <vt:lpwstr>http://www.produccion-animal.com.ar/</vt:lpwstr>
      </vt:variant>
      <vt:variant>
        <vt:lpwstr/>
      </vt:variant>
      <vt:variant>
        <vt:i4>5177430</vt:i4>
      </vt:variant>
      <vt:variant>
        <vt:i4>120</vt:i4>
      </vt:variant>
      <vt:variant>
        <vt:i4>0</vt:i4>
      </vt:variant>
      <vt:variant>
        <vt:i4>5</vt:i4>
      </vt:variant>
      <vt:variant>
        <vt:lpwstr>http://www.produccion-animal.com.ar/</vt:lpwstr>
      </vt:variant>
      <vt:variant>
        <vt:lpwstr/>
      </vt:variant>
      <vt:variant>
        <vt:i4>4980828</vt:i4>
      </vt:variant>
      <vt:variant>
        <vt:i4>117</vt:i4>
      </vt:variant>
      <vt:variant>
        <vt:i4>0</vt:i4>
      </vt:variant>
      <vt:variant>
        <vt:i4>5</vt:i4>
      </vt:variant>
      <vt:variant>
        <vt:lpwstr>http://www1.hcdn.gov.ar/proyxml/expediente.asp?fundamentos=si&amp;numexp=2320-D-2012</vt:lpwstr>
      </vt:variant>
      <vt:variant>
        <vt:lpwstr/>
      </vt:variant>
      <vt:variant>
        <vt:i4>4128824</vt:i4>
      </vt:variant>
      <vt:variant>
        <vt:i4>114</vt:i4>
      </vt:variant>
      <vt:variant>
        <vt:i4>0</vt:i4>
      </vt:variant>
      <vt:variant>
        <vt:i4>5</vt:i4>
      </vt:variant>
      <vt:variant>
        <vt:lpwstr>http://www.agroseguro.es/memoria2011/Informes.html</vt:lpwstr>
      </vt:variant>
      <vt:variant>
        <vt:lpwstr/>
      </vt:variant>
      <vt:variant>
        <vt:i4>3997748</vt:i4>
      </vt:variant>
      <vt:variant>
        <vt:i4>111</vt:i4>
      </vt:variant>
      <vt:variant>
        <vt:i4>0</vt:i4>
      </vt:variant>
      <vt:variant>
        <vt:i4>5</vt:i4>
      </vt:variant>
      <vt:variant>
        <vt:lpwstr>http://www.afsc.ca/doc.aspx?id=5335</vt:lpwstr>
      </vt:variant>
      <vt:variant>
        <vt:lpwstr/>
      </vt:variant>
      <vt:variant>
        <vt:i4>1114165</vt:i4>
      </vt:variant>
      <vt:variant>
        <vt:i4>68</vt:i4>
      </vt:variant>
      <vt:variant>
        <vt:i4>0</vt:i4>
      </vt:variant>
      <vt:variant>
        <vt:i4>5</vt:i4>
      </vt:variant>
      <vt:variant>
        <vt:lpwstr/>
      </vt:variant>
      <vt:variant>
        <vt:lpwstr>_Toc332274332</vt:lpwstr>
      </vt:variant>
      <vt:variant>
        <vt:i4>1114165</vt:i4>
      </vt:variant>
      <vt:variant>
        <vt:i4>62</vt:i4>
      </vt:variant>
      <vt:variant>
        <vt:i4>0</vt:i4>
      </vt:variant>
      <vt:variant>
        <vt:i4>5</vt:i4>
      </vt:variant>
      <vt:variant>
        <vt:lpwstr/>
      </vt:variant>
      <vt:variant>
        <vt:lpwstr>_Toc332274331</vt:lpwstr>
      </vt:variant>
      <vt:variant>
        <vt:i4>1114165</vt:i4>
      </vt:variant>
      <vt:variant>
        <vt:i4>56</vt:i4>
      </vt:variant>
      <vt:variant>
        <vt:i4>0</vt:i4>
      </vt:variant>
      <vt:variant>
        <vt:i4>5</vt:i4>
      </vt:variant>
      <vt:variant>
        <vt:lpwstr/>
      </vt:variant>
      <vt:variant>
        <vt:lpwstr>_Toc332274330</vt:lpwstr>
      </vt:variant>
      <vt:variant>
        <vt:i4>1048629</vt:i4>
      </vt:variant>
      <vt:variant>
        <vt:i4>50</vt:i4>
      </vt:variant>
      <vt:variant>
        <vt:i4>0</vt:i4>
      </vt:variant>
      <vt:variant>
        <vt:i4>5</vt:i4>
      </vt:variant>
      <vt:variant>
        <vt:lpwstr/>
      </vt:variant>
      <vt:variant>
        <vt:lpwstr>_Toc332274329</vt:lpwstr>
      </vt:variant>
      <vt:variant>
        <vt:i4>1048629</vt:i4>
      </vt:variant>
      <vt:variant>
        <vt:i4>44</vt:i4>
      </vt:variant>
      <vt:variant>
        <vt:i4>0</vt:i4>
      </vt:variant>
      <vt:variant>
        <vt:i4>5</vt:i4>
      </vt:variant>
      <vt:variant>
        <vt:lpwstr/>
      </vt:variant>
      <vt:variant>
        <vt:lpwstr>_Toc332274328</vt:lpwstr>
      </vt:variant>
      <vt:variant>
        <vt:i4>1048629</vt:i4>
      </vt:variant>
      <vt:variant>
        <vt:i4>38</vt:i4>
      </vt:variant>
      <vt:variant>
        <vt:i4>0</vt:i4>
      </vt:variant>
      <vt:variant>
        <vt:i4>5</vt:i4>
      </vt:variant>
      <vt:variant>
        <vt:lpwstr/>
      </vt:variant>
      <vt:variant>
        <vt:lpwstr>_Toc332274327</vt:lpwstr>
      </vt:variant>
      <vt:variant>
        <vt:i4>1048629</vt:i4>
      </vt:variant>
      <vt:variant>
        <vt:i4>32</vt:i4>
      </vt:variant>
      <vt:variant>
        <vt:i4>0</vt:i4>
      </vt:variant>
      <vt:variant>
        <vt:i4>5</vt:i4>
      </vt:variant>
      <vt:variant>
        <vt:lpwstr/>
      </vt:variant>
      <vt:variant>
        <vt:lpwstr>_Toc332274326</vt:lpwstr>
      </vt:variant>
      <vt:variant>
        <vt:i4>1048629</vt:i4>
      </vt:variant>
      <vt:variant>
        <vt:i4>26</vt:i4>
      </vt:variant>
      <vt:variant>
        <vt:i4>0</vt:i4>
      </vt:variant>
      <vt:variant>
        <vt:i4>5</vt:i4>
      </vt:variant>
      <vt:variant>
        <vt:lpwstr/>
      </vt:variant>
      <vt:variant>
        <vt:lpwstr>_Toc332274325</vt:lpwstr>
      </vt:variant>
      <vt:variant>
        <vt:i4>1048629</vt:i4>
      </vt:variant>
      <vt:variant>
        <vt:i4>20</vt:i4>
      </vt:variant>
      <vt:variant>
        <vt:i4>0</vt:i4>
      </vt:variant>
      <vt:variant>
        <vt:i4>5</vt:i4>
      </vt:variant>
      <vt:variant>
        <vt:lpwstr/>
      </vt:variant>
      <vt:variant>
        <vt:lpwstr>_Toc332274324</vt:lpwstr>
      </vt:variant>
      <vt:variant>
        <vt:i4>1048629</vt:i4>
      </vt:variant>
      <vt:variant>
        <vt:i4>14</vt:i4>
      </vt:variant>
      <vt:variant>
        <vt:i4>0</vt:i4>
      </vt:variant>
      <vt:variant>
        <vt:i4>5</vt:i4>
      </vt:variant>
      <vt:variant>
        <vt:lpwstr/>
      </vt:variant>
      <vt:variant>
        <vt:lpwstr>_Toc332274323</vt:lpwstr>
      </vt:variant>
      <vt:variant>
        <vt:i4>1048629</vt:i4>
      </vt:variant>
      <vt:variant>
        <vt:i4>8</vt:i4>
      </vt:variant>
      <vt:variant>
        <vt:i4>0</vt:i4>
      </vt:variant>
      <vt:variant>
        <vt:i4>5</vt:i4>
      </vt:variant>
      <vt:variant>
        <vt:lpwstr/>
      </vt:variant>
      <vt:variant>
        <vt:lpwstr>_Toc332274322</vt:lpwstr>
      </vt:variant>
      <vt:variant>
        <vt:i4>1048629</vt:i4>
      </vt:variant>
      <vt:variant>
        <vt:i4>2</vt:i4>
      </vt:variant>
      <vt:variant>
        <vt:i4>0</vt:i4>
      </vt:variant>
      <vt:variant>
        <vt:i4>5</vt:i4>
      </vt:variant>
      <vt:variant>
        <vt:lpwstr/>
      </vt:variant>
      <vt:variant>
        <vt:lpwstr>_Toc332274321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MAIN REPORT – NOT FOR CIRCULATION</dc:title>
  <dc:creator>charles stutley</dc:creator>
  <cp:lastModifiedBy>Darío</cp:lastModifiedBy>
  <cp:revision>2</cp:revision>
  <cp:lastPrinted>2012-10-20T09:00:00Z</cp:lastPrinted>
  <dcterms:created xsi:type="dcterms:W3CDTF">2013-01-13T01:49:00Z</dcterms:created>
  <dcterms:modified xsi:type="dcterms:W3CDTF">2013-01-13T01:49:00Z</dcterms:modified>
</cp:coreProperties>
</file>